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4B40" w14:textId="77777777" w:rsidR="00682DE9" w:rsidRDefault="00682DE9" w:rsidP="00E459F9">
      <w:pPr>
        <w:jc w:val="both"/>
      </w:pPr>
    </w:p>
    <w:p w14:paraId="6F389E9A" w14:textId="77777777" w:rsidR="00560325" w:rsidRDefault="00560325" w:rsidP="00E459F9">
      <w:pPr>
        <w:jc w:val="both"/>
        <w:rPr>
          <w:rFonts w:ascii="Times New Roman" w:hAnsi="Times New Roman" w:cs="Times New Roman"/>
        </w:rPr>
      </w:pPr>
    </w:p>
    <w:p w14:paraId="44400685" w14:textId="77777777" w:rsidR="00E459F9" w:rsidRDefault="00E459F9" w:rsidP="00E459F9">
      <w:pPr>
        <w:jc w:val="both"/>
        <w:rPr>
          <w:rFonts w:ascii="Times New Roman" w:hAnsi="Times New Roman" w:cs="Times New Roman"/>
        </w:rPr>
      </w:pPr>
      <w:r w:rsidRPr="00E459F9">
        <w:rPr>
          <w:rFonts w:ascii="Times New Roman" w:hAnsi="Times New Roman" w:cs="Times New Roman"/>
        </w:rPr>
        <w:t>Özet</w:t>
      </w:r>
    </w:p>
    <w:p w14:paraId="3C2702F0" w14:textId="77777777" w:rsidR="00E459F9" w:rsidRPr="00E459F9" w:rsidRDefault="00E459F9" w:rsidP="00E459F9">
      <w:pPr>
        <w:jc w:val="both"/>
        <w:rPr>
          <w:rFonts w:ascii="Times New Roman" w:hAnsi="Times New Roman" w:cs="Times New Roman"/>
        </w:rPr>
      </w:pPr>
    </w:p>
    <w:p w14:paraId="6746F24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09 Temmuz 2025 tarih ve 32951 sayılı </w:t>
      </w:r>
      <w:proofErr w:type="gramStart"/>
      <w:r w:rsidRPr="00E459F9">
        <w:rPr>
          <w:rFonts w:ascii="Times New Roman" w:hAnsi="Times New Roman" w:cs="Times New Roman"/>
        </w:rPr>
        <w:t>Resmi</w:t>
      </w:r>
      <w:proofErr w:type="gramEnd"/>
      <w:r w:rsidRPr="00E459F9">
        <w:rPr>
          <w:rFonts w:ascii="Times New Roman" w:hAnsi="Times New Roman" w:cs="Times New Roman"/>
        </w:rPr>
        <w:t xml:space="preserve"> </w:t>
      </w:r>
      <w:proofErr w:type="spellStart"/>
      <w:r w:rsidRPr="00E459F9">
        <w:rPr>
          <w:rFonts w:ascii="Times New Roman" w:hAnsi="Times New Roman" w:cs="Times New Roman"/>
        </w:rPr>
        <w:t>Gazete’de</w:t>
      </w:r>
      <w:proofErr w:type="spellEnd"/>
      <w:r w:rsidRPr="00E459F9">
        <w:rPr>
          <w:rFonts w:ascii="Times New Roman" w:hAnsi="Times New Roman" w:cs="Times New Roman"/>
        </w:rPr>
        <w:t xml:space="preserve"> </w:t>
      </w:r>
      <w:proofErr w:type="spellStart"/>
      <w:r w:rsidRPr="00E459F9">
        <w:rPr>
          <w:rFonts w:ascii="Times New Roman" w:hAnsi="Times New Roman" w:cs="Times New Roman"/>
        </w:rPr>
        <w:t>yayılanan</w:t>
      </w:r>
      <w:proofErr w:type="spellEnd"/>
      <w:r w:rsidRPr="00E459F9">
        <w:rPr>
          <w:rFonts w:ascii="Times New Roman" w:hAnsi="Times New Roman" w:cs="Times New Roman"/>
        </w:rPr>
        <w:t xml:space="preserve"> 10041 sayılı Cumhurbaşkanı Kararı’nın eki karar ile (“Yeni Karar”) 193 sayılı Gelir Vergisi Kanunu’nun geçici 67’nci maddesinin on yedinci fıkrasında yer alan yetki çerçevesinde,</w:t>
      </w:r>
    </w:p>
    <w:p w14:paraId="27C8B4EE" w14:textId="77777777" w:rsidR="00E459F9" w:rsidRPr="00E459F9" w:rsidRDefault="00E459F9" w:rsidP="00E459F9">
      <w:pPr>
        <w:jc w:val="both"/>
        <w:rPr>
          <w:rFonts w:ascii="Times New Roman" w:hAnsi="Times New Roman" w:cs="Times New Roman"/>
        </w:rPr>
      </w:pPr>
    </w:p>
    <w:p w14:paraId="59D1D7F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a bendinin 1 numaralı alt bendinin (ii) sırası değiştirilmiş ve hisse senedi yoğun fonların katılma paylarından, iki yıldan fazla süreyle elde tutulan girişim sermayesi yatırım fonu ve gayrimenkul yatırım fonu katılma paylarından elde edilen kazançlar hariç olmak üzere </w:t>
      </w:r>
      <w:proofErr w:type="spellStart"/>
      <w:r w:rsidRPr="00E459F9">
        <w:rPr>
          <w:rFonts w:ascii="Times New Roman" w:hAnsi="Times New Roman" w:cs="Times New Roman"/>
        </w:rPr>
        <w:t>GVK’nın</w:t>
      </w:r>
      <w:proofErr w:type="spellEnd"/>
      <w:r w:rsidRPr="00E459F9">
        <w:rPr>
          <w:rFonts w:ascii="Times New Roman" w:hAnsi="Times New Roman" w:cs="Times New Roman"/>
        </w:rPr>
        <w:t xml:space="preserve"> geçici 67’nci maddesi hükümlerine göre vergilendirilen diğer yatırım fonlarından elde edilen kazançlardaki stopaj oranı artırılmış ve %17,5 olarak belirlenmiştir,</w:t>
      </w:r>
    </w:p>
    <w:p w14:paraId="6256FFD6"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ç bendinin (ii) sırası, söz konusu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a bendinin 1 numaralı alt bendinin (ii) sırasında yapılan değişiklikle uyumlu olacak şekilde değiştirilmiştir,</w:t>
      </w:r>
    </w:p>
    <w:p w14:paraId="3EA19E2B"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d bendinin (2) ve (3) numaralı alt bentlerinde yer alan mevduat faizleri, katılma hesabı karşılığında ödenen kar payları,  TL kur korumalı mevduat faizleri, TL kur korumalı katılma hesapları kar payları, altın cinsinden mevduat hesaplarından dönüşüm fiyatı üzerinden Türk lirasına çevrilen mevduat hesaplarına ödenen faizler ve altın cinsinden katılım fonu hesaplarından dönüşüm fiyatı üzerinden Türk lirasına çevrilen katılma hesaplarına ödenen kar paylarındaki stopaj oranları değiştirilmiştir.</w:t>
      </w:r>
    </w:p>
    <w:p w14:paraId="593DA0E6"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Kapsam</w:t>
      </w:r>
    </w:p>
    <w:p w14:paraId="2C528A1F"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1. Yatırım Fonlarından elde edilen gelir ve kazançlardaki stopaj oranlarında değişiklik</w:t>
      </w:r>
    </w:p>
    <w:p w14:paraId="758996AF" w14:textId="77777777" w:rsidR="00E459F9" w:rsidRPr="00E459F9" w:rsidRDefault="00E459F9" w:rsidP="00E459F9">
      <w:pPr>
        <w:jc w:val="both"/>
        <w:rPr>
          <w:rFonts w:ascii="Times New Roman" w:hAnsi="Times New Roman" w:cs="Times New Roman"/>
        </w:rPr>
      </w:pPr>
    </w:p>
    <w:p w14:paraId="3A66A618"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01 Şubat 2025 tarihli ve 32800 sayılı </w:t>
      </w:r>
      <w:proofErr w:type="gramStart"/>
      <w:r w:rsidRPr="00E459F9">
        <w:rPr>
          <w:rFonts w:ascii="Times New Roman" w:hAnsi="Times New Roman" w:cs="Times New Roman"/>
        </w:rPr>
        <w:t>Resmi</w:t>
      </w:r>
      <w:proofErr w:type="gramEnd"/>
      <w:r w:rsidRPr="00E459F9">
        <w:rPr>
          <w:rFonts w:ascii="Times New Roman" w:hAnsi="Times New Roman" w:cs="Times New Roman"/>
        </w:rPr>
        <w:t xml:space="preserve"> </w:t>
      </w:r>
      <w:proofErr w:type="spellStart"/>
      <w:r w:rsidRPr="00E459F9">
        <w:rPr>
          <w:rFonts w:ascii="Times New Roman" w:hAnsi="Times New Roman" w:cs="Times New Roman"/>
        </w:rPr>
        <w:t>Gazete’de</w:t>
      </w:r>
      <w:proofErr w:type="spellEnd"/>
      <w:r w:rsidRPr="00E459F9">
        <w:rPr>
          <w:rFonts w:ascii="Times New Roman" w:hAnsi="Times New Roman" w:cs="Times New Roman"/>
        </w:rPr>
        <w:t xml:space="preserve"> yayımlanan 9487 sayılı Cumhurbaşkanı Kararı ile hisse senedi yoğun fonların katılma paylarından, iki yıldan fazla süreyle elde tutulan girişim sermayesi yatırım fonu ve gayrimenkul yatırım fonu katılma paylarından elde edilen kazançlar hariç olmak üzere </w:t>
      </w:r>
      <w:proofErr w:type="spellStart"/>
      <w:r w:rsidRPr="00E459F9">
        <w:rPr>
          <w:rFonts w:ascii="Times New Roman" w:hAnsi="Times New Roman" w:cs="Times New Roman"/>
        </w:rPr>
        <w:t>GVK’nın</w:t>
      </w:r>
      <w:proofErr w:type="spellEnd"/>
      <w:r w:rsidRPr="00E459F9">
        <w:rPr>
          <w:rFonts w:ascii="Times New Roman" w:hAnsi="Times New Roman" w:cs="Times New Roman"/>
        </w:rPr>
        <w:t xml:space="preserve"> geçici 67’nci maddesi hükümlerine göre vergilendirilen diğer yatırım fonlarından elde edilen kazançlardaki stopaj oranı %15 olarak belirlenmişti.</w:t>
      </w:r>
    </w:p>
    <w:p w14:paraId="0EFEBD90" w14:textId="77777777" w:rsidR="00E459F9" w:rsidRPr="00E459F9" w:rsidRDefault="00E459F9" w:rsidP="00E459F9">
      <w:pPr>
        <w:jc w:val="both"/>
        <w:rPr>
          <w:rFonts w:ascii="Times New Roman" w:hAnsi="Times New Roman" w:cs="Times New Roman"/>
        </w:rPr>
      </w:pPr>
    </w:p>
    <w:p w14:paraId="5DBB04CB"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Şimdi Yeni Karar ile söz konusu stopaj oranı artırılmış ve %17,5 olarak belirlenmiştir.</w:t>
      </w:r>
    </w:p>
    <w:p w14:paraId="6AB3C486" w14:textId="77777777" w:rsidR="00E459F9" w:rsidRPr="00E459F9" w:rsidRDefault="00E459F9" w:rsidP="00E459F9">
      <w:pPr>
        <w:jc w:val="both"/>
        <w:rPr>
          <w:rFonts w:ascii="Times New Roman" w:hAnsi="Times New Roman" w:cs="Times New Roman"/>
        </w:rPr>
      </w:pPr>
    </w:p>
    <w:p w14:paraId="0D872E49"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Buna göre, 09 Temmuz 2025 tarihi itibarıyla iktisap edilecek yatırım fonu katılma belgelerindeki vergilendirme aşağıdaki şekilde olacaktır:</w:t>
      </w:r>
    </w:p>
    <w:p w14:paraId="160765B0" w14:textId="77777777" w:rsidR="00E459F9" w:rsidRPr="00E459F9" w:rsidRDefault="00E459F9" w:rsidP="00E459F9">
      <w:pPr>
        <w:jc w:val="both"/>
        <w:rPr>
          <w:rFonts w:ascii="Times New Roman" w:hAnsi="Times New Roman" w:cs="Times New Roman"/>
        </w:rPr>
      </w:pPr>
    </w:p>
    <w:p w14:paraId="34D4C92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Pay senedi yoğun fon niteliğini haiz yatırım fonu ile borsa yatırım fonu katılma belgelerinden edilen kazançlar için stopaj oranı %0.</w:t>
      </w:r>
    </w:p>
    <w:p w14:paraId="62350008"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Sürekli olarak portföyünün en az %51’i </w:t>
      </w:r>
      <w:proofErr w:type="spellStart"/>
      <w:r w:rsidRPr="00E459F9">
        <w:rPr>
          <w:rFonts w:ascii="Times New Roman" w:hAnsi="Times New Roman" w:cs="Times New Roman"/>
        </w:rPr>
        <w:t>BİST’te</w:t>
      </w:r>
      <w:proofErr w:type="spellEnd"/>
      <w:r w:rsidRPr="00E459F9">
        <w:rPr>
          <w:rFonts w:ascii="Times New Roman" w:hAnsi="Times New Roman" w:cs="Times New Roman"/>
        </w:rPr>
        <w:t xml:space="preserve"> işlem gören pay senetlerinden oluşan yatırım fonlarının 1 yıldan fazla süreyle elde tutulan katılma belgelerinden sağlanan kazançlar stopaja tabi değildir.</w:t>
      </w:r>
    </w:p>
    <w:p w14:paraId="264F153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İki yıldan fazla süreyle elde tutulan girişim sermayesi yatırım fonu ve gayrimenkul yatırım fonu katılma belgelerinden elde edilen kazançlar için stopaj oranı %0.</w:t>
      </w:r>
    </w:p>
    <w:p w14:paraId="42ED9E7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Diğer yatırım fonu katılma belgelerinden elde edilen kazançlar için stopaj oranı %17,5.</w:t>
      </w:r>
    </w:p>
    <w:p w14:paraId="30E44F7C"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Sözü edilen değişiklik belirli süreli olmayıp 2006/10731 sayılı Bakanlar Kurulu Kararı’ndaki ilgili düzenlemede yeni bir değişiklik yapılmadığı müddetçe yeni stopaj oranları yürürlükte kalacaktır.</w:t>
      </w:r>
    </w:p>
    <w:p w14:paraId="41CA1A3E" w14:textId="77777777" w:rsidR="00E459F9" w:rsidRPr="00E459F9" w:rsidRDefault="00E459F9" w:rsidP="00E459F9">
      <w:pPr>
        <w:jc w:val="both"/>
        <w:rPr>
          <w:rFonts w:ascii="Times New Roman" w:hAnsi="Times New Roman" w:cs="Times New Roman"/>
        </w:rPr>
      </w:pPr>
    </w:p>
    <w:p w14:paraId="015DA05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Yeni stopaj oranları 09 Temmuz 2025 tarihinden (Bu tarih dahil) itibaren iktisap edilen yatırım fonu katılma paylarından elde edilen kazançlara uygulanacaktır.</w:t>
      </w:r>
    </w:p>
    <w:p w14:paraId="7FDC8E41" w14:textId="77777777" w:rsidR="00E459F9" w:rsidRPr="00E459F9" w:rsidRDefault="00E459F9" w:rsidP="00E459F9">
      <w:pPr>
        <w:jc w:val="both"/>
        <w:rPr>
          <w:rFonts w:ascii="Times New Roman" w:hAnsi="Times New Roman" w:cs="Times New Roman"/>
        </w:rPr>
      </w:pPr>
    </w:p>
    <w:p w14:paraId="4B4A485A"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2. İhtiyari beyannamede uygulanacak stopaj oranlarında değişiklik</w:t>
      </w:r>
    </w:p>
    <w:p w14:paraId="7BC689EC" w14:textId="77777777" w:rsidR="00E459F9" w:rsidRPr="00E459F9" w:rsidRDefault="00E459F9" w:rsidP="00E459F9">
      <w:pPr>
        <w:jc w:val="both"/>
        <w:rPr>
          <w:rFonts w:ascii="Times New Roman" w:hAnsi="Times New Roman" w:cs="Times New Roman"/>
        </w:rPr>
      </w:pPr>
    </w:p>
    <w:p w14:paraId="0AA60BCA"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Gelir Vergisi Kanunu’nun geçici 67. maddesinin on birinci fıkrasında, dar mükellefler de dahil olmak üzere, bu madde kapsamında </w:t>
      </w:r>
      <w:proofErr w:type="spellStart"/>
      <w:r w:rsidRPr="00E459F9">
        <w:rPr>
          <w:rFonts w:ascii="Times New Roman" w:hAnsi="Times New Roman" w:cs="Times New Roman"/>
        </w:rPr>
        <w:t>tevkifata</w:t>
      </w:r>
      <w:proofErr w:type="spellEnd"/>
      <w:r w:rsidRPr="00E459F9">
        <w:rPr>
          <w:rFonts w:ascii="Times New Roman" w:hAnsi="Times New Roman" w:cs="Times New Roman"/>
        </w:rPr>
        <w:t xml:space="preserve"> tabi tutulan ve yıllık veya münferit beyanname ile beyan edilmeyeceği belirtilen menkul kıymet ve diğer sermaye piyasası araçlarının elden çıkarılmasından doğan kazançlar için takvim yılı itibariyle yıllık beyanname verilebileceği ve beyan edilen gelirden aynı türden menkul kıymetler için yıl içinde oluşan zararların tamamının mahsup edilebileceği hükmüne yer verilmiştir.</w:t>
      </w:r>
    </w:p>
    <w:p w14:paraId="149566F4" w14:textId="77777777" w:rsidR="00E459F9" w:rsidRPr="00E459F9" w:rsidRDefault="00E459F9" w:rsidP="00E459F9">
      <w:pPr>
        <w:jc w:val="both"/>
        <w:rPr>
          <w:rFonts w:ascii="Times New Roman" w:hAnsi="Times New Roman" w:cs="Times New Roman"/>
        </w:rPr>
      </w:pPr>
    </w:p>
    <w:p w14:paraId="00291AD8" w14:textId="77777777" w:rsidR="00E459F9" w:rsidRDefault="00E459F9" w:rsidP="00E459F9">
      <w:pPr>
        <w:jc w:val="both"/>
        <w:rPr>
          <w:rFonts w:ascii="Times New Roman" w:hAnsi="Times New Roman" w:cs="Times New Roman"/>
        </w:rPr>
      </w:pPr>
      <w:r w:rsidRPr="00E459F9">
        <w:rPr>
          <w:rFonts w:ascii="Times New Roman" w:hAnsi="Times New Roman" w:cs="Times New Roman"/>
        </w:rPr>
        <w:t xml:space="preserve">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ç bendinin (ii) sırasında, hisse senedi yoğun fonların katılma paylarından, iki yıldan fazla süreyle elde tutulan girişim sermayesi yatırım fonu ve gayrimenkul yatırım fonu katılma paylarından elde edilen kazançlar için stopaj oranı %0, diğer yatırım fonu katılma paylarından elde edilen kazançlar için %15 olarak belirlenmişti.</w:t>
      </w:r>
    </w:p>
    <w:p w14:paraId="006D4382" w14:textId="77777777" w:rsidR="00E459F9" w:rsidRDefault="00E459F9" w:rsidP="00E459F9">
      <w:pPr>
        <w:jc w:val="both"/>
        <w:rPr>
          <w:rFonts w:ascii="Times New Roman" w:hAnsi="Times New Roman" w:cs="Times New Roman"/>
        </w:rPr>
      </w:pPr>
    </w:p>
    <w:p w14:paraId="376C18E7" w14:textId="77777777" w:rsidR="00E459F9" w:rsidRDefault="00E459F9" w:rsidP="00E459F9">
      <w:pPr>
        <w:jc w:val="both"/>
        <w:rPr>
          <w:rFonts w:ascii="Times New Roman" w:hAnsi="Times New Roman" w:cs="Times New Roman"/>
        </w:rPr>
      </w:pPr>
    </w:p>
    <w:p w14:paraId="421326DB" w14:textId="77777777" w:rsidR="00E459F9" w:rsidRPr="00E459F9" w:rsidRDefault="00E459F9" w:rsidP="00E459F9">
      <w:pPr>
        <w:jc w:val="both"/>
        <w:rPr>
          <w:rFonts w:ascii="Times New Roman" w:hAnsi="Times New Roman" w:cs="Times New Roman"/>
        </w:rPr>
      </w:pPr>
    </w:p>
    <w:p w14:paraId="43F76F6A" w14:textId="77777777" w:rsidR="00E459F9" w:rsidRPr="00E459F9" w:rsidRDefault="00E459F9" w:rsidP="00E459F9">
      <w:pPr>
        <w:jc w:val="both"/>
        <w:rPr>
          <w:rFonts w:ascii="Times New Roman" w:hAnsi="Times New Roman" w:cs="Times New Roman"/>
        </w:rPr>
      </w:pPr>
    </w:p>
    <w:p w14:paraId="067A100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Sözü edilen hükümde bahsedilen uygulama, sektörde ihtiyari beyan olarak anılmakta olup Yeni Karar’da, 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a bendinin 1 numaralı alt bendinin (ii) sırasındaki stopaj oranlarında değişikliğe gidildiğinden ihtiyari beyannamedeki vergi oranlarının söz konusu sıradaki stopaj oranları ile eşitlenmesi adına 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ç bendinin (ii) sırasında yer alan vergi oranları 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a bendinin 1 numaralı alt bendinin (ii) sırasında yapılan değişiklikle uyumlu olacak şekilde değiştirilmiştir.</w:t>
      </w:r>
    </w:p>
    <w:p w14:paraId="13C5883B" w14:textId="77777777" w:rsidR="00E459F9" w:rsidRPr="00E459F9" w:rsidRDefault="00E459F9" w:rsidP="00E459F9">
      <w:pPr>
        <w:jc w:val="both"/>
        <w:rPr>
          <w:rFonts w:ascii="Times New Roman" w:hAnsi="Times New Roman" w:cs="Times New Roman"/>
        </w:rPr>
      </w:pPr>
    </w:p>
    <w:p w14:paraId="1C07EEF1"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Sözü edilen değişiklik belirli süreli olmayıp 2006/10731 sayılı Bakanlar Kurulu Kararı’ndaki ilgili düzenlemede yeni bir değişiklik yapılmadığı müddetçe yeni vergi oranları yürürlükte kalacaktır.</w:t>
      </w:r>
    </w:p>
    <w:p w14:paraId="77664D2B" w14:textId="77777777" w:rsidR="00E459F9" w:rsidRPr="00E459F9" w:rsidRDefault="00E459F9" w:rsidP="00E459F9">
      <w:pPr>
        <w:jc w:val="both"/>
        <w:rPr>
          <w:rFonts w:ascii="Times New Roman" w:hAnsi="Times New Roman" w:cs="Times New Roman"/>
        </w:rPr>
      </w:pPr>
    </w:p>
    <w:p w14:paraId="2AAB5E9D"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3. Mevduat ve katılım hesapları stopaj oranlarında değişiklik:</w:t>
      </w:r>
    </w:p>
    <w:p w14:paraId="0B596768" w14:textId="77777777" w:rsidR="00E459F9" w:rsidRPr="00E459F9" w:rsidRDefault="00E459F9" w:rsidP="00E459F9">
      <w:pPr>
        <w:jc w:val="both"/>
        <w:rPr>
          <w:rFonts w:ascii="Times New Roman" w:hAnsi="Times New Roman" w:cs="Times New Roman"/>
        </w:rPr>
      </w:pPr>
    </w:p>
    <w:p w14:paraId="7FE0C75C"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01 Şubat 2025 tarihli ve 32800 sayılı </w:t>
      </w:r>
      <w:proofErr w:type="gramStart"/>
      <w:r w:rsidRPr="00E459F9">
        <w:rPr>
          <w:rFonts w:ascii="Times New Roman" w:hAnsi="Times New Roman" w:cs="Times New Roman"/>
        </w:rPr>
        <w:t>Resmi</w:t>
      </w:r>
      <w:proofErr w:type="gramEnd"/>
      <w:r w:rsidRPr="00E459F9">
        <w:rPr>
          <w:rFonts w:ascii="Times New Roman" w:hAnsi="Times New Roman" w:cs="Times New Roman"/>
        </w:rPr>
        <w:t xml:space="preserve"> </w:t>
      </w:r>
      <w:proofErr w:type="spellStart"/>
      <w:r w:rsidRPr="00E459F9">
        <w:rPr>
          <w:rFonts w:ascii="Times New Roman" w:hAnsi="Times New Roman" w:cs="Times New Roman"/>
        </w:rPr>
        <w:t>Gazete’de</w:t>
      </w:r>
      <w:proofErr w:type="spellEnd"/>
      <w:r w:rsidRPr="00E459F9">
        <w:rPr>
          <w:rFonts w:ascii="Times New Roman" w:hAnsi="Times New Roman" w:cs="Times New Roman"/>
        </w:rPr>
        <w:t xml:space="preserve"> yayımlanan 9487 sayılı Cumhurbaşkanı Kararı ile vadeli mevduat faizleri ile katılma hesapları karşılığında ödenen kar paylarındaki stopaj oranları aşağıdaki şekilde belirlenmişti:</w:t>
      </w:r>
    </w:p>
    <w:p w14:paraId="6D4D18AB" w14:textId="77777777" w:rsidR="00E459F9" w:rsidRPr="00E459F9" w:rsidRDefault="00E459F9" w:rsidP="00E459F9">
      <w:pPr>
        <w:jc w:val="both"/>
        <w:rPr>
          <w:rFonts w:ascii="Times New Roman" w:hAnsi="Times New Roman" w:cs="Times New Roman"/>
        </w:rPr>
      </w:pPr>
    </w:p>
    <w:p w14:paraId="41B848E3"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Mevduat faizlerinden;</w:t>
      </w:r>
    </w:p>
    <w:p w14:paraId="55D1148A" w14:textId="77777777" w:rsidR="00E459F9" w:rsidRPr="00E459F9" w:rsidRDefault="00E459F9" w:rsidP="00E459F9">
      <w:pPr>
        <w:jc w:val="both"/>
        <w:rPr>
          <w:rFonts w:ascii="Times New Roman" w:hAnsi="Times New Roman" w:cs="Times New Roman"/>
        </w:rPr>
      </w:pPr>
    </w:p>
    <w:p w14:paraId="510DD76F"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 Vadesiz ve ihbarlı hesaplar ile 6 aya kadar (6 ay dâhil) vadeli hesaplarda %15,</w:t>
      </w:r>
    </w:p>
    <w:p w14:paraId="1B0EAD58" w14:textId="77777777" w:rsidR="00E459F9" w:rsidRPr="00E459F9" w:rsidRDefault="00E459F9" w:rsidP="00E459F9">
      <w:pPr>
        <w:jc w:val="both"/>
        <w:rPr>
          <w:rFonts w:ascii="Times New Roman" w:hAnsi="Times New Roman" w:cs="Times New Roman"/>
        </w:rPr>
      </w:pPr>
    </w:p>
    <w:p w14:paraId="1D1CD1A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 1 yıla kadar (1 yıl dâhil) vadeli hesaplarda %12,</w:t>
      </w:r>
    </w:p>
    <w:p w14:paraId="75A3AE7C" w14:textId="77777777" w:rsidR="00E459F9" w:rsidRPr="00E459F9" w:rsidRDefault="00E459F9" w:rsidP="00E459F9">
      <w:pPr>
        <w:jc w:val="both"/>
        <w:rPr>
          <w:rFonts w:ascii="Times New Roman" w:hAnsi="Times New Roman" w:cs="Times New Roman"/>
        </w:rPr>
      </w:pPr>
    </w:p>
    <w:p w14:paraId="2369BB71"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iii)1 yıldan uzun vadeli hesaplarda %10,</w:t>
      </w:r>
    </w:p>
    <w:p w14:paraId="2A48A336" w14:textId="77777777" w:rsidR="00E459F9" w:rsidRPr="00E459F9" w:rsidRDefault="00E459F9" w:rsidP="00E459F9">
      <w:pPr>
        <w:jc w:val="both"/>
        <w:rPr>
          <w:rFonts w:ascii="Times New Roman" w:hAnsi="Times New Roman" w:cs="Times New Roman"/>
        </w:rPr>
      </w:pPr>
    </w:p>
    <w:p w14:paraId="3FAA1B3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iv) Enflasyon oranına bağlı olarak değişken faiz oranı uygulanan 1 yıldan uzun vadeli hesaplarda </w:t>
      </w:r>
      <w:proofErr w:type="gramStart"/>
      <w:r w:rsidRPr="00E459F9">
        <w:rPr>
          <w:rFonts w:ascii="Times New Roman" w:hAnsi="Times New Roman" w:cs="Times New Roman"/>
        </w:rPr>
        <w:t>% 0</w:t>
      </w:r>
      <w:proofErr w:type="gramEnd"/>
    </w:p>
    <w:p w14:paraId="7BE21910" w14:textId="77777777" w:rsidR="00E459F9" w:rsidRPr="00E459F9" w:rsidRDefault="00E459F9" w:rsidP="00E459F9">
      <w:pPr>
        <w:jc w:val="both"/>
        <w:rPr>
          <w:rFonts w:ascii="Times New Roman" w:hAnsi="Times New Roman" w:cs="Times New Roman"/>
        </w:rPr>
      </w:pPr>
    </w:p>
    <w:p w14:paraId="2BE87B1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Katılım bankaları tarafından katılma hesabı karşılığında ödenen kar paylarından;</w:t>
      </w:r>
    </w:p>
    <w:p w14:paraId="10C6FA00" w14:textId="77777777" w:rsidR="00E459F9" w:rsidRPr="00E459F9" w:rsidRDefault="00E459F9" w:rsidP="00E459F9">
      <w:pPr>
        <w:jc w:val="both"/>
        <w:rPr>
          <w:rFonts w:ascii="Times New Roman" w:hAnsi="Times New Roman" w:cs="Times New Roman"/>
        </w:rPr>
      </w:pPr>
    </w:p>
    <w:p w14:paraId="3C7180E8"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 Vadesiz, ihbarlı ve özel cari hesaplar ile 6 aya kadar (6 ay dâhil) vadeli hesaplarda %15,</w:t>
      </w:r>
    </w:p>
    <w:p w14:paraId="696B12E1" w14:textId="77777777" w:rsidR="00E459F9" w:rsidRPr="00E459F9" w:rsidRDefault="00E459F9" w:rsidP="00E459F9">
      <w:pPr>
        <w:jc w:val="both"/>
        <w:rPr>
          <w:rFonts w:ascii="Times New Roman" w:hAnsi="Times New Roman" w:cs="Times New Roman"/>
        </w:rPr>
      </w:pPr>
    </w:p>
    <w:p w14:paraId="4BC0305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 1 yıla kadar (1 yıl dâhil) vadeli hesaplarda %12,</w:t>
      </w:r>
    </w:p>
    <w:p w14:paraId="270B0A9E" w14:textId="77777777" w:rsidR="00E459F9" w:rsidRPr="00E459F9" w:rsidRDefault="00E459F9" w:rsidP="00E459F9">
      <w:pPr>
        <w:jc w:val="both"/>
        <w:rPr>
          <w:rFonts w:ascii="Times New Roman" w:hAnsi="Times New Roman" w:cs="Times New Roman"/>
        </w:rPr>
      </w:pPr>
    </w:p>
    <w:p w14:paraId="6DA30BCA"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iii) 1 yıldan uzun vadeli hesaplarda %10.</w:t>
      </w:r>
    </w:p>
    <w:p w14:paraId="23082DA9" w14:textId="77777777" w:rsidR="00E459F9" w:rsidRPr="00E459F9" w:rsidRDefault="00E459F9" w:rsidP="00E459F9">
      <w:pPr>
        <w:jc w:val="both"/>
        <w:rPr>
          <w:rFonts w:ascii="Times New Roman" w:hAnsi="Times New Roman" w:cs="Times New Roman"/>
        </w:rPr>
      </w:pPr>
    </w:p>
    <w:p w14:paraId="0BCC67D1"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Şimdi Yeni Karar ile 09 Temmuz 2025 tarihinden (Bu tarih dahil) itibaren açılan ve vadesi yenilenen vadeli mevduat hesaplarına ödenen faizler ile katılma hesapları karşılığında ödenecek kar payları için uygulanacak stopaj oranları artırılmış ve aşağıdaki şekilde belirlenmiştir:</w:t>
      </w:r>
    </w:p>
    <w:p w14:paraId="3BB771FA" w14:textId="77777777" w:rsidR="00E459F9" w:rsidRPr="00E459F9" w:rsidRDefault="00E459F9" w:rsidP="00E459F9">
      <w:pPr>
        <w:jc w:val="both"/>
        <w:rPr>
          <w:rFonts w:ascii="Times New Roman" w:hAnsi="Times New Roman" w:cs="Times New Roman"/>
        </w:rPr>
      </w:pPr>
    </w:p>
    <w:p w14:paraId="079C4E61"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Mevduat faizlerinden;</w:t>
      </w:r>
    </w:p>
    <w:p w14:paraId="12778874" w14:textId="77777777" w:rsidR="00E459F9" w:rsidRPr="00E459F9" w:rsidRDefault="00E459F9" w:rsidP="00E459F9">
      <w:pPr>
        <w:jc w:val="both"/>
        <w:rPr>
          <w:rFonts w:ascii="Times New Roman" w:hAnsi="Times New Roman" w:cs="Times New Roman"/>
        </w:rPr>
      </w:pPr>
    </w:p>
    <w:p w14:paraId="0EBA79E0"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 Vadesiz ve ihbarlı hesaplar ile 6 aya kadar (6 ay dâhil) vadeli hesaplarda %17,5,</w:t>
      </w:r>
    </w:p>
    <w:p w14:paraId="22E22E8A" w14:textId="77777777" w:rsidR="00E459F9" w:rsidRPr="00E459F9" w:rsidRDefault="00E459F9" w:rsidP="00E459F9">
      <w:pPr>
        <w:jc w:val="both"/>
        <w:rPr>
          <w:rFonts w:ascii="Times New Roman" w:hAnsi="Times New Roman" w:cs="Times New Roman"/>
        </w:rPr>
      </w:pPr>
    </w:p>
    <w:p w14:paraId="5A20256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 1 yıla kadar (1 yıl dâhil) vadeli hesaplarda %15</w:t>
      </w:r>
    </w:p>
    <w:p w14:paraId="1E47758D" w14:textId="77777777" w:rsidR="00E459F9" w:rsidRPr="00E459F9" w:rsidRDefault="00E459F9" w:rsidP="00E459F9">
      <w:pPr>
        <w:jc w:val="both"/>
        <w:rPr>
          <w:rFonts w:ascii="Times New Roman" w:hAnsi="Times New Roman" w:cs="Times New Roman"/>
        </w:rPr>
      </w:pPr>
    </w:p>
    <w:p w14:paraId="36755E3E"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iii)1 yıldan uzun vadeli hesaplarda %10,</w:t>
      </w:r>
    </w:p>
    <w:p w14:paraId="4FAD36F5" w14:textId="77777777" w:rsidR="00E459F9" w:rsidRPr="00E459F9" w:rsidRDefault="00E459F9" w:rsidP="00E459F9">
      <w:pPr>
        <w:jc w:val="both"/>
        <w:rPr>
          <w:rFonts w:ascii="Times New Roman" w:hAnsi="Times New Roman" w:cs="Times New Roman"/>
        </w:rPr>
      </w:pPr>
    </w:p>
    <w:p w14:paraId="432224F4"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iv) Enflasyon oranına bağlı olarak değişken faiz oranı uygulanan 1 yıldan uzun vadeli hesaplarda </w:t>
      </w:r>
      <w:proofErr w:type="gramStart"/>
      <w:r w:rsidRPr="00E459F9">
        <w:rPr>
          <w:rFonts w:ascii="Times New Roman" w:hAnsi="Times New Roman" w:cs="Times New Roman"/>
        </w:rPr>
        <w:t>% 0</w:t>
      </w:r>
      <w:proofErr w:type="gramEnd"/>
    </w:p>
    <w:p w14:paraId="0FF07737" w14:textId="77777777" w:rsidR="00E459F9" w:rsidRPr="00E459F9" w:rsidRDefault="00E459F9" w:rsidP="00E459F9">
      <w:pPr>
        <w:jc w:val="both"/>
        <w:rPr>
          <w:rFonts w:ascii="Times New Roman" w:hAnsi="Times New Roman" w:cs="Times New Roman"/>
        </w:rPr>
      </w:pPr>
    </w:p>
    <w:p w14:paraId="171A32E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Katılım bankaları tarafından katılma hesabı karşılığında ödenen kar paylarından;</w:t>
      </w:r>
    </w:p>
    <w:p w14:paraId="631F8B0D" w14:textId="77777777" w:rsidR="00E459F9" w:rsidRPr="00E459F9" w:rsidRDefault="00E459F9" w:rsidP="00E459F9">
      <w:pPr>
        <w:jc w:val="both"/>
        <w:rPr>
          <w:rFonts w:ascii="Times New Roman" w:hAnsi="Times New Roman" w:cs="Times New Roman"/>
        </w:rPr>
      </w:pPr>
    </w:p>
    <w:p w14:paraId="4C26685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 Vadesiz, ihbarlı ve özel cari hesaplar ile 6 aya kadar (6 ay dâhil) vadeli hesaplarda %17,5,</w:t>
      </w:r>
    </w:p>
    <w:p w14:paraId="787D7352" w14:textId="77777777" w:rsidR="00E459F9" w:rsidRDefault="00E459F9" w:rsidP="00E459F9">
      <w:pPr>
        <w:jc w:val="both"/>
        <w:rPr>
          <w:rFonts w:ascii="Times New Roman" w:hAnsi="Times New Roman" w:cs="Times New Roman"/>
        </w:rPr>
      </w:pPr>
    </w:p>
    <w:p w14:paraId="5D7EA57D" w14:textId="77777777" w:rsidR="00E459F9" w:rsidRDefault="00E459F9" w:rsidP="00E459F9">
      <w:pPr>
        <w:jc w:val="both"/>
        <w:rPr>
          <w:rFonts w:ascii="Times New Roman" w:hAnsi="Times New Roman" w:cs="Times New Roman"/>
        </w:rPr>
      </w:pPr>
    </w:p>
    <w:p w14:paraId="2BAE573D" w14:textId="77777777" w:rsidR="00E459F9" w:rsidRPr="00E459F9" w:rsidRDefault="00E459F9" w:rsidP="00E459F9">
      <w:pPr>
        <w:jc w:val="both"/>
        <w:rPr>
          <w:rFonts w:ascii="Times New Roman" w:hAnsi="Times New Roman" w:cs="Times New Roman"/>
        </w:rPr>
      </w:pPr>
    </w:p>
    <w:p w14:paraId="7FBE06F3"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 1 yıla kadar (1 yıl dâhil) vadeli hesaplarda %15,</w:t>
      </w:r>
    </w:p>
    <w:p w14:paraId="381D835A" w14:textId="77777777" w:rsidR="00E459F9" w:rsidRPr="00E459F9" w:rsidRDefault="00E459F9" w:rsidP="00E459F9">
      <w:pPr>
        <w:jc w:val="both"/>
        <w:rPr>
          <w:rFonts w:ascii="Times New Roman" w:hAnsi="Times New Roman" w:cs="Times New Roman"/>
        </w:rPr>
      </w:pPr>
    </w:p>
    <w:p w14:paraId="5F44DCE6"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iii) 1 yıldan uzun vadeli hesaplarda %10.</w:t>
      </w:r>
    </w:p>
    <w:p w14:paraId="6FDB4F26" w14:textId="77777777" w:rsidR="00E459F9" w:rsidRPr="00E459F9" w:rsidRDefault="00E459F9" w:rsidP="00E459F9">
      <w:pPr>
        <w:jc w:val="both"/>
        <w:rPr>
          <w:rFonts w:ascii="Times New Roman" w:hAnsi="Times New Roman" w:cs="Times New Roman"/>
        </w:rPr>
      </w:pPr>
    </w:p>
    <w:p w14:paraId="1D0733F1" w14:textId="77777777" w:rsidR="00E459F9" w:rsidRDefault="00E459F9" w:rsidP="00E459F9">
      <w:pPr>
        <w:jc w:val="both"/>
        <w:rPr>
          <w:rFonts w:ascii="Times New Roman" w:hAnsi="Times New Roman" w:cs="Times New Roman"/>
        </w:rPr>
      </w:pPr>
    </w:p>
    <w:p w14:paraId="6385518F" w14:textId="77777777" w:rsidR="00E459F9" w:rsidRDefault="00E459F9" w:rsidP="00E459F9">
      <w:pPr>
        <w:jc w:val="both"/>
        <w:rPr>
          <w:rFonts w:ascii="Times New Roman" w:hAnsi="Times New Roman" w:cs="Times New Roman"/>
        </w:rPr>
      </w:pPr>
    </w:p>
    <w:p w14:paraId="0D54B30A" w14:textId="77777777" w:rsidR="00E459F9" w:rsidRDefault="00E459F9" w:rsidP="00E459F9">
      <w:pPr>
        <w:jc w:val="both"/>
        <w:rPr>
          <w:rFonts w:ascii="Times New Roman" w:hAnsi="Times New Roman" w:cs="Times New Roman"/>
        </w:rPr>
      </w:pPr>
    </w:p>
    <w:p w14:paraId="1956001F" w14:textId="77777777" w:rsidR="00E459F9" w:rsidRDefault="00E459F9" w:rsidP="00E459F9">
      <w:pPr>
        <w:jc w:val="both"/>
        <w:rPr>
          <w:rFonts w:ascii="Times New Roman" w:hAnsi="Times New Roman" w:cs="Times New Roman"/>
        </w:rPr>
      </w:pPr>
    </w:p>
    <w:p w14:paraId="65B5E036" w14:textId="77777777" w:rsidR="00E459F9" w:rsidRDefault="00E459F9" w:rsidP="00E459F9">
      <w:pPr>
        <w:jc w:val="both"/>
        <w:rPr>
          <w:rFonts w:ascii="Times New Roman" w:hAnsi="Times New Roman" w:cs="Times New Roman"/>
        </w:rPr>
      </w:pPr>
    </w:p>
    <w:p w14:paraId="50E33935" w14:textId="77777777" w:rsidR="00E459F9" w:rsidRDefault="00E459F9" w:rsidP="00E459F9">
      <w:pPr>
        <w:jc w:val="both"/>
        <w:rPr>
          <w:rFonts w:ascii="Times New Roman" w:hAnsi="Times New Roman" w:cs="Times New Roman"/>
        </w:rPr>
      </w:pPr>
    </w:p>
    <w:p w14:paraId="547610C8" w14:textId="77777777" w:rsidR="00E459F9" w:rsidRDefault="00E459F9" w:rsidP="00E459F9">
      <w:pPr>
        <w:jc w:val="both"/>
        <w:rPr>
          <w:rFonts w:ascii="Times New Roman" w:hAnsi="Times New Roman" w:cs="Times New Roman"/>
        </w:rPr>
      </w:pPr>
    </w:p>
    <w:p w14:paraId="4B785EB6" w14:textId="38168EEE" w:rsidR="00E459F9" w:rsidRPr="00E459F9" w:rsidRDefault="00E459F9" w:rsidP="00E459F9">
      <w:pPr>
        <w:jc w:val="both"/>
        <w:rPr>
          <w:rFonts w:ascii="Times New Roman" w:hAnsi="Times New Roman" w:cs="Times New Roman"/>
        </w:rPr>
      </w:pPr>
      <w:r w:rsidRPr="00E459F9">
        <w:rPr>
          <w:rFonts w:ascii="Times New Roman" w:hAnsi="Times New Roman" w:cs="Times New Roman"/>
        </w:rPr>
        <w:t>Sözü edilen değişiklik belirli süreli olmayıp 2006/10731 sayılı Bakanlar Kurulu Kararı’ndaki ilgili düzenlemede yeni bir değişiklik yapılmadığı müddetçe yeni stopaj oranları yürürlükte kalacaktır.</w:t>
      </w:r>
    </w:p>
    <w:p w14:paraId="63D65A56" w14:textId="77777777" w:rsidR="00E459F9" w:rsidRPr="00E459F9" w:rsidRDefault="00E459F9" w:rsidP="00E459F9">
      <w:pPr>
        <w:jc w:val="both"/>
        <w:rPr>
          <w:rFonts w:ascii="Times New Roman" w:hAnsi="Times New Roman" w:cs="Times New Roman"/>
        </w:rPr>
      </w:pPr>
    </w:p>
    <w:p w14:paraId="31547680"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Yeni stopaj oranları 09 Temmuz 2025 tarihinden (Bu tarih dahil) itibaren açılan veya vadesi yenilenen vadeli hesaplara ödenecek faizler ve kar payları için uygulanacaktır.</w:t>
      </w:r>
    </w:p>
    <w:p w14:paraId="1052DD80" w14:textId="77777777" w:rsidR="00E459F9" w:rsidRPr="00E459F9" w:rsidRDefault="00E459F9" w:rsidP="00E459F9">
      <w:pPr>
        <w:jc w:val="both"/>
        <w:rPr>
          <w:rFonts w:ascii="Times New Roman" w:hAnsi="Times New Roman" w:cs="Times New Roman"/>
        </w:rPr>
      </w:pPr>
    </w:p>
    <w:p w14:paraId="56083889"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4. TL kur korumalı mevduat faizleri ile TL kur korumalı katılma hesapları kar payları stopaj oranlarında değişiklik</w:t>
      </w:r>
    </w:p>
    <w:p w14:paraId="146DD316" w14:textId="77777777" w:rsidR="00E459F9" w:rsidRPr="00E459F9" w:rsidRDefault="00E459F9" w:rsidP="00E459F9">
      <w:pPr>
        <w:jc w:val="both"/>
        <w:rPr>
          <w:rFonts w:ascii="Times New Roman" w:hAnsi="Times New Roman" w:cs="Times New Roman"/>
        </w:rPr>
      </w:pPr>
    </w:p>
    <w:p w14:paraId="5447BB5F"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01 Şubat 2025 tarihli ve 32800 sayılı </w:t>
      </w:r>
      <w:proofErr w:type="gramStart"/>
      <w:r w:rsidRPr="00E459F9">
        <w:rPr>
          <w:rFonts w:ascii="Times New Roman" w:hAnsi="Times New Roman" w:cs="Times New Roman"/>
        </w:rPr>
        <w:t>Resmi</w:t>
      </w:r>
      <w:proofErr w:type="gramEnd"/>
      <w:r w:rsidRPr="00E459F9">
        <w:rPr>
          <w:rFonts w:ascii="Times New Roman" w:hAnsi="Times New Roman" w:cs="Times New Roman"/>
        </w:rPr>
        <w:t xml:space="preserve"> </w:t>
      </w:r>
      <w:proofErr w:type="spellStart"/>
      <w:r w:rsidRPr="00E459F9">
        <w:rPr>
          <w:rFonts w:ascii="Times New Roman" w:hAnsi="Times New Roman" w:cs="Times New Roman"/>
        </w:rPr>
        <w:t>Gazete’de</w:t>
      </w:r>
      <w:proofErr w:type="spellEnd"/>
      <w:r w:rsidRPr="00E459F9">
        <w:rPr>
          <w:rFonts w:ascii="Times New Roman" w:hAnsi="Times New Roman" w:cs="Times New Roman"/>
        </w:rPr>
        <w:t xml:space="preserve"> yayımlanan 9487 sayılı Cumhurbaşkanı Kararı ile 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d bendinin 2 numaralı alt bendinin (v) ve (vi) sıraları aşağıdaki şekilde belirlenmişti:</w:t>
      </w:r>
    </w:p>
    <w:p w14:paraId="5EEC172F" w14:textId="77777777" w:rsidR="00E459F9" w:rsidRPr="00E459F9" w:rsidRDefault="00E459F9" w:rsidP="00E459F9">
      <w:pPr>
        <w:jc w:val="both"/>
        <w:rPr>
          <w:rFonts w:ascii="Times New Roman" w:hAnsi="Times New Roman" w:cs="Times New Roman"/>
        </w:rPr>
      </w:pPr>
    </w:p>
    <w:p w14:paraId="22424097"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v) Kur korumalı vadeli mevduat hesapları ile döviz tevdiat hesaplarından dönüşüm kuru üzerinden Türk lirasına çevrilen mevduat hesaplarından; 6 aya kadar (6 ay dâhil) vadeli olanlarda %15, 1 yıla kadar (1 yıl dâhil) vadeli olanlarda %12 ve 1 yıldan uzun vadeli olanlarda %10</w:t>
      </w:r>
    </w:p>
    <w:p w14:paraId="62B4A484" w14:textId="77777777" w:rsidR="00E459F9" w:rsidRPr="00E459F9" w:rsidRDefault="00E459F9" w:rsidP="00E459F9">
      <w:pPr>
        <w:jc w:val="both"/>
        <w:rPr>
          <w:rFonts w:ascii="Times New Roman" w:hAnsi="Times New Roman" w:cs="Times New Roman"/>
        </w:rPr>
      </w:pPr>
    </w:p>
    <w:p w14:paraId="4718369E"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vi) Altın cinsinden mevduat hesaplarından dönüşüm fiyatı üzerinden Türk lirasına çevrilen mevduat hesaplarından; 6 aya kadar (6 ay dâhil) vadeli olanlarda %15, 1 yıla kadar (1 yıl dâhil) vadeli olanlarda %12</w:t>
      </w:r>
    </w:p>
    <w:p w14:paraId="06F41D00" w14:textId="77777777" w:rsidR="00E459F9" w:rsidRPr="00E459F9" w:rsidRDefault="00E459F9" w:rsidP="00E459F9">
      <w:pPr>
        <w:jc w:val="both"/>
        <w:rPr>
          <w:rFonts w:ascii="Times New Roman" w:hAnsi="Times New Roman" w:cs="Times New Roman"/>
        </w:rPr>
      </w:pPr>
    </w:p>
    <w:p w14:paraId="5E09350E"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Yeni Karar ile söz konusu sıralar aşağıdaki şekilde değiştirilmiştir:</w:t>
      </w:r>
    </w:p>
    <w:p w14:paraId="224552CC" w14:textId="77777777" w:rsidR="00E459F9" w:rsidRPr="00E459F9" w:rsidRDefault="00E459F9" w:rsidP="00E459F9">
      <w:pPr>
        <w:jc w:val="both"/>
        <w:rPr>
          <w:rFonts w:ascii="Times New Roman" w:hAnsi="Times New Roman" w:cs="Times New Roman"/>
        </w:rPr>
      </w:pPr>
    </w:p>
    <w:p w14:paraId="5886277C"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v) Kur korumalı vadeli mevduat hesapları ile döviz tevdiat hesaplarından dönüşüm kuru üzerinden Türk lirasına çevrilen mevduat hesaplarından; 6 aya kadar (6 ay dâhil) vadeli olanlarda %17,5, 1 yıla kadar (1 yıl dâhil) vadeli olanlarda %15 ve 1 yıldan uzun vadeli olanlarda %10</w:t>
      </w:r>
    </w:p>
    <w:p w14:paraId="2DA5B5E9" w14:textId="77777777" w:rsidR="00E459F9" w:rsidRPr="00E459F9" w:rsidRDefault="00E459F9" w:rsidP="00E459F9">
      <w:pPr>
        <w:jc w:val="both"/>
        <w:rPr>
          <w:rFonts w:ascii="Times New Roman" w:hAnsi="Times New Roman" w:cs="Times New Roman"/>
        </w:rPr>
      </w:pPr>
    </w:p>
    <w:p w14:paraId="49407AC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vi) Altın cinsinden mevduat hesaplarından dönüşüm fiyatı üzerinden Türk lirasına çevrilen mevduat hesaplarından; 6 aya kadar (6 ay dâhil) vadeli olanlarda %17,5, 1 yıla kadar (1 yıl dâhil) vadeli olanlarda %15</w:t>
      </w:r>
    </w:p>
    <w:p w14:paraId="49B2AA36" w14:textId="77777777" w:rsidR="00E459F9" w:rsidRPr="00E459F9" w:rsidRDefault="00E459F9" w:rsidP="00E459F9">
      <w:pPr>
        <w:jc w:val="both"/>
        <w:rPr>
          <w:rFonts w:ascii="Times New Roman" w:hAnsi="Times New Roman" w:cs="Times New Roman"/>
        </w:rPr>
      </w:pPr>
    </w:p>
    <w:p w14:paraId="6638C0DE"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 xml:space="preserve">01 Şubat 2025 tarihli ve 32800 sayılı </w:t>
      </w:r>
      <w:proofErr w:type="gramStart"/>
      <w:r w:rsidRPr="00E459F9">
        <w:rPr>
          <w:rFonts w:ascii="Times New Roman" w:hAnsi="Times New Roman" w:cs="Times New Roman"/>
        </w:rPr>
        <w:t>Resmi</w:t>
      </w:r>
      <w:proofErr w:type="gramEnd"/>
      <w:r w:rsidRPr="00E459F9">
        <w:rPr>
          <w:rFonts w:ascii="Times New Roman" w:hAnsi="Times New Roman" w:cs="Times New Roman"/>
        </w:rPr>
        <w:t xml:space="preserve"> </w:t>
      </w:r>
      <w:proofErr w:type="spellStart"/>
      <w:r w:rsidRPr="00E459F9">
        <w:rPr>
          <w:rFonts w:ascii="Times New Roman" w:hAnsi="Times New Roman" w:cs="Times New Roman"/>
        </w:rPr>
        <w:t>Gazete’de</w:t>
      </w:r>
      <w:proofErr w:type="spellEnd"/>
      <w:r w:rsidRPr="00E459F9">
        <w:rPr>
          <w:rFonts w:ascii="Times New Roman" w:hAnsi="Times New Roman" w:cs="Times New Roman"/>
        </w:rPr>
        <w:t xml:space="preserve"> yayımlanan 9487 sayılı Cumhurbaşkanı Kararı ile 2006/10731 sayılı </w:t>
      </w:r>
      <w:proofErr w:type="spellStart"/>
      <w:r w:rsidRPr="00E459F9">
        <w:rPr>
          <w:rFonts w:ascii="Times New Roman" w:hAnsi="Times New Roman" w:cs="Times New Roman"/>
        </w:rPr>
        <w:t>BKK’nın</w:t>
      </w:r>
      <w:proofErr w:type="spellEnd"/>
      <w:r w:rsidRPr="00E459F9">
        <w:rPr>
          <w:rFonts w:ascii="Times New Roman" w:hAnsi="Times New Roman" w:cs="Times New Roman"/>
        </w:rPr>
        <w:t xml:space="preserve"> eki kararın 1’inci maddesinin birinci fıkrasının d bendinin 3 numaralı alt bendinin (iv) ve (v) sıraları aşağıdaki şekilde belirlenmişti:</w:t>
      </w:r>
    </w:p>
    <w:p w14:paraId="2A4BEA07" w14:textId="77777777" w:rsidR="00E459F9" w:rsidRPr="00E459F9" w:rsidRDefault="00E459F9" w:rsidP="00E459F9">
      <w:pPr>
        <w:jc w:val="both"/>
        <w:rPr>
          <w:rFonts w:ascii="Times New Roman" w:hAnsi="Times New Roman" w:cs="Times New Roman"/>
        </w:rPr>
      </w:pPr>
    </w:p>
    <w:p w14:paraId="3D5DDF2B"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iv) Kur korumalı vadeli katılma hesapları ile döviz cinsinden katılım fonu hesaplarından dönüşüm kuru üzerinden Türk lirasına çevrilen katılma hesaplarından; 6 aya kadar (6 ay dâhil) vadeli olanlarda %15, 1 yıla kadar (1 yıl dâhil) vadeli olanlarda %12 ve 1 yıldan uzun vadeli olanlarda %10</w:t>
      </w:r>
    </w:p>
    <w:p w14:paraId="5547392E" w14:textId="77777777" w:rsidR="00E459F9" w:rsidRPr="00E459F9" w:rsidRDefault="00E459F9" w:rsidP="00E459F9">
      <w:pPr>
        <w:jc w:val="both"/>
        <w:rPr>
          <w:rFonts w:ascii="Times New Roman" w:hAnsi="Times New Roman" w:cs="Times New Roman"/>
        </w:rPr>
      </w:pPr>
    </w:p>
    <w:p w14:paraId="28697B45"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v) Altın cinsinden katılım fonu hesaplarından dönüşüm fiyatı üzerinden Türk lirasına çevrilen katılma hesaplarından; 6 aya kadar (6 ay dâhil) vadeli olanlarda %15, 1 yıla kadar (1 yıl dâhil) vadeli olanlarda %12</w:t>
      </w:r>
    </w:p>
    <w:p w14:paraId="71AACC92" w14:textId="77777777" w:rsidR="00E459F9" w:rsidRPr="00E459F9" w:rsidRDefault="00E459F9" w:rsidP="00E459F9">
      <w:pPr>
        <w:jc w:val="both"/>
        <w:rPr>
          <w:rFonts w:ascii="Times New Roman" w:hAnsi="Times New Roman" w:cs="Times New Roman"/>
        </w:rPr>
      </w:pPr>
    </w:p>
    <w:p w14:paraId="4076FA5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Yeni Karar ile söz konusu sıralar aşağıdaki şekilde değiştirilmiştir:</w:t>
      </w:r>
    </w:p>
    <w:p w14:paraId="2F6DEA3E" w14:textId="77777777" w:rsidR="00E459F9" w:rsidRPr="00E459F9" w:rsidRDefault="00E459F9" w:rsidP="00E459F9">
      <w:pPr>
        <w:jc w:val="both"/>
        <w:rPr>
          <w:rFonts w:ascii="Times New Roman" w:hAnsi="Times New Roman" w:cs="Times New Roman"/>
        </w:rPr>
      </w:pPr>
    </w:p>
    <w:p w14:paraId="26C006D2" w14:textId="77777777" w:rsidR="00E459F9" w:rsidRPr="00E459F9" w:rsidRDefault="00E459F9" w:rsidP="00E459F9">
      <w:pPr>
        <w:jc w:val="both"/>
        <w:rPr>
          <w:rFonts w:ascii="Times New Roman" w:hAnsi="Times New Roman" w:cs="Times New Roman"/>
        </w:rPr>
      </w:pPr>
      <w:r w:rsidRPr="00E459F9">
        <w:rPr>
          <w:rFonts w:ascii="Times New Roman" w:hAnsi="Times New Roman" w:cs="Times New Roman"/>
        </w:rPr>
        <w:t>iv) Kur korumalı vadeli katılma hesapları ile döviz cinsinden katılım fonu hesaplarından dönüşüm kuru üzerinden Türk lirasına çevrilen katılma hesaplarından; 6 aya kadar (6 ay dâhil) vadeli olanlarda %17,5, 1 yıla kadar (1 yıl dâhil) vadeli olanlarda %15 ve 1 yıldan uzun vadeli olanlarda %10</w:t>
      </w:r>
    </w:p>
    <w:p w14:paraId="2FD265E8" w14:textId="77777777" w:rsidR="00E459F9" w:rsidRPr="00E459F9" w:rsidRDefault="00E459F9" w:rsidP="00E459F9">
      <w:pPr>
        <w:jc w:val="both"/>
        <w:rPr>
          <w:rFonts w:ascii="Times New Roman" w:hAnsi="Times New Roman" w:cs="Times New Roman"/>
        </w:rPr>
      </w:pPr>
    </w:p>
    <w:p w14:paraId="1EF59C88" w14:textId="4F82C65A" w:rsidR="00E459F9" w:rsidRPr="00E459F9" w:rsidRDefault="00E459F9" w:rsidP="00E459F9">
      <w:pPr>
        <w:jc w:val="both"/>
        <w:rPr>
          <w:rFonts w:ascii="Times New Roman" w:hAnsi="Times New Roman" w:cs="Times New Roman"/>
        </w:rPr>
      </w:pPr>
      <w:r w:rsidRPr="00E459F9">
        <w:rPr>
          <w:rFonts w:ascii="Times New Roman" w:hAnsi="Times New Roman" w:cs="Times New Roman"/>
        </w:rPr>
        <w:t>v) Altın cinsinden katılım fonu hesaplarından dönüşüm fiyatı üzerinden Türk lirasına çevrilen katılma hesaplarından; 6 aya kadar (6 ay dâhil) vadeli olanlarda %17,5, 1 yıla kadar (1 yıl dâhil) vadeli olanlarda %15</w:t>
      </w:r>
    </w:p>
    <w:p w14:paraId="23732AB1" w14:textId="77777777" w:rsidR="00E459F9" w:rsidRDefault="00E459F9" w:rsidP="00E459F9">
      <w:pPr>
        <w:jc w:val="both"/>
        <w:rPr>
          <w:rFonts w:ascii="Times New Roman" w:hAnsi="Times New Roman" w:cs="Times New Roman"/>
        </w:rPr>
      </w:pPr>
    </w:p>
    <w:p w14:paraId="5E40DD46" w14:textId="296BB107" w:rsidR="00E459F9" w:rsidRPr="00E459F9" w:rsidRDefault="00E459F9" w:rsidP="00E459F9">
      <w:pPr>
        <w:jc w:val="both"/>
        <w:rPr>
          <w:rFonts w:ascii="Times New Roman" w:hAnsi="Times New Roman" w:cs="Times New Roman"/>
        </w:rPr>
      </w:pPr>
      <w:r w:rsidRPr="00E459F9">
        <w:rPr>
          <w:rFonts w:ascii="Times New Roman" w:hAnsi="Times New Roman" w:cs="Times New Roman"/>
        </w:rPr>
        <w:t>Sözü edilen değişiklik belirli süreli olmayıp 2006/10731 sayılı Bakanlar Kurulu Kararı’ndaki ilgili düzenlemede yeni bir değişiklik yapılmadığı müddetçe yeni stopaj oranları yürürlükte kalacaktır.</w:t>
      </w:r>
    </w:p>
    <w:p w14:paraId="7975BD7D" w14:textId="77777777" w:rsidR="00E459F9" w:rsidRPr="00E459F9" w:rsidRDefault="00E459F9" w:rsidP="00E459F9">
      <w:pPr>
        <w:jc w:val="both"/>
        <w:rPr>
          <w:rFonts w:ascii="Times New Roman" w:hAnsi="Times New Roman" w:cs="Times New Roman"/>
        </w:rPr>
      </w:pPr>
    </w:p>
    <w:p w14:paraId="1865546B" w14:textId="40F46966" w:rsidR="00E248E3" w:rsidRPr="00B1604B" w:rsidRDefault="00E459F9" w:rsidP="00E459F9">
      <w:pPr>
        <w:jc w:val="both"/>
        <w:rPr>
          <w:rFonts w:ascii="Times New Roman" w:hAnsi="Times New Roman" w:cs="Times New Roman"/>
        </w:rPr>
      </w:pPr>
      <w:r w:rsidRPr="00E459F9">
        <w:rPr>
          <w:rFonts w:ascii="Times New Roman" w:hAnsi="Times New Roman" w:cs="Times New Roman"/>
        </w:rPr>
        <w:t>Yeni stopaj oranları 09 Temmuz 2025 tarihinden (Bu tarih dahil) itibaren açılan veya vadesi yenilenen vadeli hesaplara ödenecek faizler ve kar payları için uygulanacaktır.</w:t>
      </w:r>
    </w:p>
    <w:sectPr w:rsidR="00E248E3" w:rsidRPr="00B1604B" w:rsidSect="00E459F9">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5D80"/>
    <w:multiLevelType w:val="hybridMultilevel"/>
    <w:tmpl w:val="8BC44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172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66"/>
    <w:rsid w:val="0000429A"/>
    <w:rsid w:val="00017EC5"/>
    <w:rsid w:val="001223EE"/>
    <w:rsid w:val="001E483E"/>
    <w:rsid w:val="002676CE"/>
    <w:rsid w:val="002C76C7"/>
    <w:rsid w:val="002F2CA9"/>
    <w:rsid w:val="0030320B"/>
    <w:rsid w:val="00560325"/>
    <w:rsid w:val="005A42B2"/>
    <w:rsid w:val="00662E4B"/>
    <w:rsid w:val="00682DE9"/>
    <w:rsid w:val="006C65DA"/>
    <w:rsid w:val="006D5FF5"/>
    <w:rsid w:val="006E2D89"/>
    <w:rsid w:val="007F4928"/>
    <w:rsid w:val="009D1870"/>
    <w:rsid w:val="00A018BC"/>
    <w:rsid w:val="00A13B54"/>
    <w:rsid w:val="00A2457A"/>
    <w:rsid w:val="00A34093"/>
    <w:rsid w:val="00A771E5"/>
    <w:rsid w:val="00A8589A"/>
    <w:rsid w:val="00AF6DC1"/>
    <w:rsid w:val="00B1604B"/>
    <w:rsid w:val="00B85F94"/>
    <w:rsid w:val="00BB4BD7"/>
    <w:rsid w:val="00BC1046"/>
    <w:rsid w:val="00C41C4E"/>
    <w:rsid w:val="00CE20B1"/>
    <w:rsid w:val="00D24D14"/>
    <w:rsid w:val="00DF6566"/>
    <w:rsid w:val="00E12009"/>
    <w:rsid w:val="00E14CB5"/>
    <w:rsid w:val="00E248E3"/>
    <w:rsid w:val="00E459F9"/>
    <w:rsid w:val="00E54D75"/>
    <w:rsid w:val="00E6164E"/>
    <w:rsid w:val="00F535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D129"/>
  <w15:chartTrackingRefBased/>
  <w15:docId w15:val="{40C6837C-BD78-4AAE-8C14-F7412F68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C5"/>
    <w:pPr>
      <w:spacing w:after="0" w:line="240" w:lineRule="auto"/>
    </w:pPr>
    <w:rPr>
      <w:rFonts w:ascii="Calibri" w:hAnsi="Calibri" w:cs="Calibri"/>
      <w:kern w:val="0"/>
    </w:rPr>
  </w:style>
  <w:style w:type="paragraph" w:styleId="Balk1">
    <w:name w:val="heading 1"/>
    <w:basedOn w:val="Normal"/>
    <w:next w:val="Normal"/>
    <w:link w:val="Balk1Char"/>
    <w:uiPriority w:val="9"/>
    <w:qFormat/>
    <w:rsid w:val="00DF656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Balk2">
    <w:name w:val="heading 2"/>
    <w:basedOn w:val="Normal"/>
    <w:next w:val="Normal"/>
    <w:link w:val="Balk2Char"/>
    <w:uiPriority w:val="9"/>
    <w:semiHidden/>
    <w:unhideWhenUsed/>
    <w:qFormat/>
    <w:rsid w:val="00DF656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Balk3">
    <w:name w:val="heading 3"/>
    <w:basedOn w:val="Normal"/>
    <w:next w:val="Normal"/>
    <w:link w:val="Balk3Char"/>
    <w:uiPriority w:val="9"/>
    <w:semiHidden/>
    <w:unhideWhenUsed/>
    <w:qFormat/>
    <w:rsid w:val="00DF656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Balk4">
    <w:name w:val="heading 4"/>
    <w:basedOn w:val="Normal"/>
    <w:next w:val="Normal"/>
    <w:link w:val="Balk4Char"/>
    <w:uiPriority w:val="9"/>
    <w:semiHidden/>
    <w:unhideWhenUsed/>
    <w:qFormat/>
    <w:rsid w:val="00DF6566"/>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Balk5">
    <w:name w:val="heading 5"/>
    <w:basedOn w:val="Normal"/>
    <w:next w:val="Normal"/>
    <w:link w:val="Balk5Char"/>
    <w:uiPriority w:val="9"/>
    <w:semiHidden/>
    <w:unhideWhenUsed/>
    <w:qFormat/>
    <w:rsid w:val="00DF6566"/>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Balk6">
    <w:name w:val="heading 6"/>
    <w:basedOn w:val="Normal"/>
    <w:next w:val="Normal"/>
    <w:link w:val="Balk6Char"/>
    <w:uiPriority w:val="9"/>
    <w:semiHidden/>
    <w:unhideWhenUsed/>
    <w:qFormat/>
    <w:rsid w:val="00DF656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alk7">
    <w:name w:val="heading 7"/>
    <w:basedOn w:val="Normal"/>
    <w:next w:val="Normal"/>
    <w:link w:val="Balk7Char"/>
    <w:uiPriority w:val="9"/>
    <w:semiHidden/>
    <w:unhideWhenUsed/>
    <w:qFormat/>
    <w:rsid w:val="00DF656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alk8">
    <w:name w:val="heading 8"/>
    <w:basedOn w:val="Normal"/>
    <w:next w:val="Normal"/>
    <w:link w:val="Balk8Char"/>
    <w:uiPriority w:val="9"/>
    <w:semiHidden/>
    <w:unhideWhenUsed/>
    <w:qFormat/>
    <w:rsid w:val="00DF656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alk9">
    <w:name w:val="heading 9"/>
    <w:basedOn w:val="Normal"/>
    <w:next w:val="Normal"/>
    <w:link w:val="Balk9Char"/>
    <w:uiPriority w:val="9"/>
    <w:semiHidden/>
    <w:unhideWhenUsed/>
    <w:qFormat/>
    <w:rsid w:val="00DF656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Bal">
    <w:name w:val="Tablo Başlığı"/>
    <w:basedOn w:val="Normal"/>
    <w:link w:val="TabloBalChar"/>
    <w:autoRedefine/>
    <w:qFormat/>
    <w:rsid w:val="00E54D75"/>
    <w:pPr>
      <w:widowControl w:val="0"/>
      <w:tabs>
        <w:tab w:val="left" w:pos="483"/>
        <w:tab w:val="right" w:leader="dot" w:pos="9601"/>
      </w:tabs>
      <w:jc w:val="both"/>
    </w:pPr>
    <w:rPr>
      <w:rFonts w:ascii="Times New Roman" w:eastAsia="Times New Roman" w:hAnsi="Times New Roman" w:cs="Times New Roman"/>
      <w:color w:val="000000"/>
      <w:kern w:val="2"/>
      <w:sz w:val="24"/>
      <w:lang w:eastAsia="tr-TR" w:bidi="tr-TR"/>
    </w:rPr>
  </w:style>
  <w:style w:type="character" w:customStyle="1" w:styleId="TabloBalChar">
    <w:name w:val="Tablo Başlığı Char"/>
    <w:basedOn w:val="VarsaylanParagrafYazTipi"/>
    <w:link w:val="TabloBal"/>
    <w:rsid w:val="00E54D75"/>
    <w:rPr>
      <w:rFonts w:ascii="Times New Roman" w:eastAsia="Times New Roman" w:hAnsi="Times New Roman" w:cs="Times New Roman"/>
      <w:color w:val="000000"/>
      <w:sz w:val="24"/>
      <w:lang w:eastAsia="tr-TR" w:bidi="tr-TR"/>
    </w:rPr>
  </w:style>
  <w:style w:type="character" w:customStyle="1" w:styleId="Balk1Char">
    <w:name w:val="Başlık 1 Char"/>
    <w:basedOn w:val="VarsaylanParagrafYazTipi"/>
    <w:link w:val="Balk1"/>
    <w:uiPriority w:val="9"/>
    <w:rsid w:val="00DF656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F656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F656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F656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F656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F65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65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65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6566"/>
    <w:rPr>
      <w:rFonts w:eastAsiaTheme="majorEastAsia" w:cstheme="majorBidi"/>
      <w:color w:val="272727" w:themeColor="text1" w:themeTint="D8"/>
    </w:rPr>
  </w:style>
  <w:style w:type="paragraph" w:styleId="KonuBal">
    <w:name w:val="Title"/>
    <w:basedOn w:val="Normal"/>
    <w:next w:val="Normal"/>
    <w:link w:val="KonuBalChar"/>
    <w:uiPriority w:val="10"/>
    <w:qFormat/>
    <w:rsid w:val="00DF656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65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65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tyazChar">
    <w:name w:val="Altyazı Char"/>
    <w:basedOn w:val="VarsaylanParagrafYazTipi"/>
    <w:link w:val="Altyaz"/>
    <w:uiPriority w:val="11"/>
    <w:rsid w:val="00DF65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6566"/>
    <w:pPr>
      <w:spacing w:before="160" w:after="160" w:line="259" w:lineRule="auto"/>
      <w:jc w:val="center"/>
    </w:pPr>
    <w:rPr>
      <w:rFonts w:asciiTheme="minorHAnsi" w:hAnsiTheme="minorHAnsi" w:cstheme="minorBidi"/>
      <w:i/>
      <w:iCs/>
      <w:color w:val="404040" w:themeColor="text1" w:themeTint="BF"/>
      <w:kern w:val="2"/>
    </w:rPr>
  </w:style>
  <w:style w:type="character" w:customStyle="1" w:styleId="AlntChar">
    <w:name w:val="Alıntı Char"/>
    <w:basedOn w:val="VarsaylanParagrafYazTipi"/>
    <w:link w:val="Alnt"/>
    <w:uiPriority w:val="29"/>
    <w:rsid w:val="00DF6566"/>
    <w:rPr>
      <w:i/>
      <w:iCs/>
      <w:color w:val="404040" w:themeColor="text1" w:themeTint="BF"/>
    </w:rPr>
  </w:style>
  <w:style w:type="paragraph" w:styleId="ListeParagraf">
    <w:name w:val="List Paragraph"/>
    <w:basedOn w:val="Normal"/>
    <w:uiPriority w:val="34"/>
    <w:qFormat/>
    <w:rsid w:val="00DF6566"/>
    <w:pPr>
      <w:spacing w:after="160" w:line="259" w:lineRule="auto"/>
      <w:ind w:left="720"/>
      <w:contextualSpacing/>
    </w:pPr>
    <w:rPr>
      <w:rFonts w:asciiTheme="minorHAnsi" w:hAnsiTheme="minorHAnsi" w:cstheme="minorBidi"/>
      <w:kern w:val="2"/>
    </w:rPr>
  </w:style>
  <w:style w:type="character" w:styleId="GlVurgulama">
    <w:name w:val="Intense Emphasis"/>
    <w:basedOn w:val="VarsaylanParagrafYazTipi"/>
    <w:uiPriority w:val="21"/>
    <w:qFormat/>
    <w:rsid w:val="00DF6566"/>
    <w:rPr>
      <w:i/>
      <w:iCs/>
      <w:color w:val="2F5496" w:themeColor="accent1" w:themeShade="BF"/>
    </w:rPr>
  </w:style>
  <w:style w:type="paragraph" w:styleId="GlAlnt">
    <w:name w:val="Intense Quote"/>
    <w:basedOn w:val="Normal"/>
    <w:next w:val="Normal"/>
    <w:link w:val="GlAlntChar"/>
    <w:uiPriority w:val="30"/>
    <w:qFormat/>
    <w:rsid w:val="00DF656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GlAlntChar">
    <w:name w:val="Güçlü Alıntı Char"/>
    <w:basedOn w:val="VarsaylanParagrafYazTipi"/>
    <w:link w:val="GlAlnt"/>
    <w:uiPriority w:val="30"/>
    <w:rsid w:val="00DF6566"/>
    <w:rPr>
      <w:i/>
      <w:iCs/>
      <w:color w:val="2F5496" w:themeColor="accent1" w:themeShade="BF"/>
    </w:rPr>
  </w:style>
  <w:style w:type="character" w:styleId="GlBavuru">
    <w:name w:val="Intense Reference"/>
    <w:basedOn w:val="VarsaylanParagrafYazTipi"/>
    <w:uiPriority w:val="32"/>
    <w:qFormat/>
    <w:rsid w:val="00DF6566"/>
    <w:rPr>
      <w:b/>
      <w:bCs/>
      <w:smallCaps/>
      <w:color w:val="2F5496" w:themeColor="accent1" w:themeShade="BF"/>
      <w:spacing w:val="5"/>
    </w:rPr>
  </w:style>
  <w:style w:type="character" w:styleId="Kpr">
    <w:name w:val="Hyperlink"/>
    <w:basedOn w:val="VarsaylanParagrafYazTipi"/>
    <w:uiPriority w:val="99"/>
    <w:unhideWhenUsed/>
    <w:rsid w:val="00AF6DC1"/>
    <w:rPr>
      <w:color w:val="0563C1" w:themeColor="hyperlink"/>
      <w:u w:val="single"/>
    </w:rPr>
  </w:style>
  <w:style w:type="character" w:styleId="zmlenmeyenBahsetme">
    <w:name w:val="Unresolved Mention"/>
    <w:basedOn w:val="VarsaylanParagrafYazTipi"/>
    <w:uiPriority w:val="99"/>
    <w:semiHidden/>
    <w:unhideWhenUsed/>
    <w:rsid w:val="00AF6DC1"/>
    <w:rPr>
      <w:color w:val="605E5C"/>
      <w:shd w:val="clear" w:color="auto" w:fill="E1DFDD"/>
    </w:rPr>
  </w:style>
  <w:style w:type="character" w:styleId="zlenenKpr">
    <w:name w:val="FollowedHyperlink"/>
    <w:basedOn w:val="VarsaylanParagrafYazTipi"/>
    <w:uiPriority w:val="99"/>
    <w:semiHidden/>
    <w:unhideWhenUsed/>
    <w:rsid w:val="00AF6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17656">
      <w:bodyDiv w:val="1"/>
      <w:marLeft w:val="0"/>
      <w:marRight w:val="0"/>
      <w:marTop w:val="0"/>
      <w:marBottom w:val="0"/>
      <w:divBdr>
        <w:top w:val="none" w:sz="0" w:space="0" w:color="auto"/>
        <w:left w:val="none" w:sz="0" w:space="0" w:color="auto"/>
        <w:bottom w:val="none" w:sz="0" w:space="0" w:color="auto"/>
        <w:right w:val="none" w:sz="0" w:space="0" w:color="auto"/>
      </w:divBdr>
    </w:div>
    <w:div w:id="840196682">
      <w:bodyDiv w:val="1"/>
      <w:marLeft w:val="0"/>
      <w:marRight w:val="0"/>
      <w:marTop w:val="0"/>
      <w:marBottom w:val="0"/>
      <w:divBdr>
        <w:top w:val="none" w:sz="0" w:space="0" w:color="auto"/>
        <w:left w:val="none" w:sz="0" w:space="0" w:color="auto"/>
        <w:bottom w:val="none" w:sz="0" w:space="0" w:color="auto"/>
        <w:right w:val="none" w:sz="0" w:space="0" w:color="auto"/>
      </w:divBdr>
      <w:divsChild>
        <w:div w:id="729116440">
          <w:marLeft w:val="0"/>
          <w:marRight w:val="0"/>
          <w:marTop w:val="0"/>
          <w:marBottom w:val="0"/>
          <w:divBdr>
            <w:top w:val="none" w:sz="0" w:space="0" w:color="auto"/>
            <w:left w:val="none" w:sz="0" w:space="0" w:color="auto"/>
            <w:bottom w:val="none" w:sz="0" w:space="0" w:color="auto"/>
            <w:right w:val="none" w:sz="0" w:space="0" w:color="auto"/>
          </w:divBdr>
          <w:divsChild>
            <w:div w:id="159588529">
              <w:marLeft w:val="0"/>
              <w:marRight w:val="0"/>
              <w:marTop w:val="0"/>
              <w:marBottom w:val="0"/>
              <w:divBdr>
                <w:top w:val="none" w:sz="0" w:space="0" w:color="auto"/>
                <w:left w:val="none" w:sz="0" w:space="0" w:color="auto"/>
                <w:bottom w:val="none" w:sz="0" w:space="0" w:color="auto"/>
                <w:right w:val="none" w:sz="0" w:space="0" w:color="auto"/>
              </w:divBdr>
              <w:divsChild>
                <w:div w:id="1186020590">
                  <w:marLeft w:val="0"/>
                  <w:marRight w:val="0"/>
                  <w:marTop w:val="600"/>
                  <w:marBottom w:val="600"/>
                  <w:divBdr>
                    <w:top w:val="none" w:sz="0" w:space="0" w:color="auto"/>
                    <w:left w:val="none" w:sz="0" w:space="0" w:color="auto"/>
                    <w:bottom w:val="none" w:sz="0" w:space="0" w:color="auto"/>
                    <w:right w:val="none" w:sz="0" w:space="0" w:color="auto"/>
                  </w:divBdr>
                  <w:divsChild>
                    <w:div w:id="5424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2180">
          <w:marLeft w:val="0"/>
          <w:marRight w:val="0"/>
          <w:marTop w:val="0"/>
          <w:marBottom w:val="0"/>
          <w:divBdr>
            <w:top w:val="none" w:sz="0" w:space="0" w:color="auto"/>
            <w:left w:val="none" w:sz="0" w:space="0" w:color="auto"/>
            <w:bottom w:val="none" w:sz="0" w:space="0" w:color="auto"/>
            <w:right w:val="none" w:sz="0" w:space="0" w:color="auto"/>
          </w:divBdr>
          <w:divsChild>
            <w:div w:id="660740670">
              <w:marLeft w:val="0"/>
              <w:marRight w:val="0"/>
              <w:marTop w:val="0"/>
              <w:marBottom w:val="0"/>
              <w:divBdr>
                <w:top w:val="none" w:sz="0" w:space="0" w:color="auto"/>
                <w:left w:val="none" w:sz="0" w:space="0" w:color="auto"/>
                <w:bottom w:val="none" w:sz="0" w:space="0" w:color="auto"/>
                <w:right w:val="none" w:sz="0" w:space="0" w:color="auto"/>
              </w:divBdr>
              <w:divsChild>
                <w:div w:id="394740121">
                  <w:marLeft w:val="0"/>
                  <w:marRight w:val="0"/>
                  <w:marTop w:val="600"/>
                  <w:marBottom w:val="600"/>
                  <w:divBdr>
                    <w:top w:val="none" w:sz="0" w:space="0" w:color="auto"/>
                    <w:left w:val="none" w:sz="0" w:space="0" w:color="auto"/>
                    <w:bottom w:val="none" w:sz="0" w:space="0" w:color="auto"/>
                    <w:right w:val="none" w:sz="0" w:space="0" w:color="auto"/>
                  </w:divBdr>
                  <w:divsChild>
                    <w:div w:id="277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72796">
      <w:bodyDiv w:val="1"/>
      <w:marLeft w:val="0"/>
      <w:marRight w:val="0"/>
      <w:marTop w:val="0"/>
      <w:marBottom w:val="0"/>
      <w:divBdr>
        <w:top w:val="none" w:sz="0" w:space="0" w:color="auto"/>
        <w:left w:val="none" w:sz="0" w:space="0" w:color="auto"/>
        <w:bottom w:val="none" w:sz="0" w:space="0" w:color="auto"/>
        <w:right w:val="none" w:sz="0" w:space="0" w:color="auto"/>
      </w:divBdr>
    </w:div>
    <w:div w:id="1532264189">
      <w:bodyDiv w:val="1"/>
      <w:marLeft w:val="0"/>
      <w:marRight w:val="0"/>
      <w:marTop w:val="0"/>
      <w:marBottom w:val="0"/>
      <w:divBdr>
        <w:top w:val="none" w:sz="0" w:space="0" w:color="auto"/>
        <w:left w:val="none" w:sz="0" w:space="0" w:color="auto"/>
        <w:bottom w:val="none" w:sz="0" w:space="0" w:color="auto"/>
        <w:right w:val="none" w:sz="0" w:space="0" w:color="auto"/>
      </w:divBdr>
    </w:div>
    <w:div w:id="1735354435">
      <w:bodyDiv w:val="1"/>
      <w:marLeft w:val="0"/>
      <w:marRight w:val="0"/>
      <w:marTop w:val="0"/>
      <w:marBottom w:val="0"/>
      <w:divBdr>
        <w:top w:val="none" w:sz="0" w:space="0" w:color="auto"/>
        <w:left w:val="none" w:sz="0" w:space="0" w:color="auto"/>
        <w:bottom w:val="none" w:sz="0" w:space="0" w:color="auto"/>
        <w:right w:val="none" w:sz="0" w:space="0" w:color="auto"/>
      </w:divBdr>
    </w:div>
    <w:div w:id="1830363983">
      <w:bodyDiv w:val="1"/>
      <w:marLeft w:val="0"/>
      <w:marRight w:val="0"/>
      <w:marTop w:val="0"/>
      <w:marBottom w:val="0"/>
      <w:divBdr>
        <w:top w:val="none" w:sz="0" w:space="0" w:color="auto"/>
        <w:left w:val="none" w:sz="0" w:space="0" w:color="auto"/>
        <w:bottom w:val="none" w:sz="0" w:space="0" w:color="auto"/>
        <w:right w:val="none" w:sz="0" w:space="0" w:color="auto"/>
      </w:divBdr>
    </w:div>
    <w:div w:id="2076464739">
      <w:bodyDiv w:val="1"/>
      <w:marLeft w:val="0"/>
      <w:marRight w:val="0"/>
      <w:marTop w:val="0"/>
      <w:marBottom w:val="0"/>
      <w:divBdr>
        <w:top w:val="none" w:sz="0" w:space="0" w:color="auto"/>
        <w:left w:val="none" w:sz="0" w:space="0" w:color="auto"/>
        <w:bottom w:val="none" w:sz="0" w:space="0" w:color="auto"/>
        <w:right w:val="none" w:sz="0" w:space="0" w:color="auto"/>
      </w:divBdr>
      <w:divsChild>
        <w:div w:id="708383106">
          <w:marLeft w:val="0"/>
          <w:marRight w:val="0"/>
          <w:marTop w:val="0"/>
          <w:marBottom w:val="0"/>
          <w:divBdr>
            <w:top w:val="none" w:sz="0" w:space="0" w:color="auto"/>
            <w:left w:val="none" w:sz="0" w:space="0" w:color="auto"/>
            <w:bottom w:val="none" w:sz="0" w:space="0" w:color="auto"/>
            <w:right w:val="none" w:sz="0" w:space="0" w:color="auto"/>
          </w:divBdr>
          <w:divsChild>
            <w:div w:id="33772601">
              <w:marLeft w:val="0"/>
              <w:marRight w:val="0"/>
              <w:marTop w:val="0"/>
              <w:marBottom w:val="0"/>
              <w:divBdr>
                <w:top w:val="none" w:sz="0" w:space="0" w:color="auto"/>
                <w:left w:val="none" w:sz="0" w:space="0" w:color="auto"/>
                <w:bottom w:val="none" w:sz="0" w:space="0" w:color="auto"/>
                <w:right w:val="none" w:sz="0" w:space="0" w:color="auto"/>
              </w:divBdr>
              <w:divsChild>
                <w:div w:id="102530327">
                  <w:marLeft w:val="0"/>
                  <w:marRight w:val="0"/>
                  <w:marTop w:val="600"/>
                  <w:marBottom w:val="600"/>
                  <w:divBdr>
                    <w:top w:val="none" w:sz="0" w:space="0" w:color="auto"/>
                    <w:left w:val="none" w:sz="0" w:space="0" w:color="auto"/>
                    <w:bottom w:val="none" w:sz="0" w:space="0" w:color="auto"/>
                    <w:right w:val="none" w:sz="0" w:space="0" w:color="auto"/>
                  </w:divBdr>
                  <w:divsChild>
                    <w:div w:id="10497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144">
          <w:marLeft w:val="0"/>
          <w:marRight w:val="0"/>
          <w:marTop w:val="0"/>
          <w:marBottom w:val="0"/>
          <w:divBdr>
            <w:top w:val="none" w:sz="0" w:space="0" w:color="auto"/>
            <w:left w:val="none" w:sz="0" w:space="0" w:color="auto"/>
            <w:bottom w:val="none" w:sz="0" w:space="0" w:color="auto"/>
            <w:right w:val="none" w:sz="0" w:space="0" w:color="auto"/>
          </w:divBdr>
          <w:divsChild>
            <w:div w:id="450170933">
              <w:marLeft w:val="0"/>
              <w:marRight w:val="0"/>
              <w:marTop w:val="0"/>
              <w:marBottom w:val="0"/>
              <w:divBdr>
                <w:top w:val="none" w:sz="0" w:space="0" w:color="auto"/>
                <w:left w:val="none" w:sz="0" w:space="0" w:color="auto"/>
                <w:bottom w:val="none" w:sz="0" w:space="0" w:color="auto"/>
                <w:right w:val="none" w:sz="0" w:space="0" w:color="auto"/>
              </w:divBdr>
              <w:divsChild>
                <w:div w:id="1931812513">
                  <w:marLeft w:val="0"/>
                  <w:marRight w:val="0"/>
                  <w:marTop w:val="600"/>
                  <w:marBottom w:val="600"/>
                  <w:divBdr>
                    <w:top w:val="none" w:sz="0" w:space="0" w:color="auto"/>
                    <w:left w:val="none" w:sz="0" w:space="0" w:color="auto"/>
                    <w:bottom w:val="none" w:sz="0" w:space="0" w:color="auto"/>
                    <w:right w:val="none" w:sz="0" w:space="0" w:color="auto"/>
                  </w:divBdr>
                  <w:divsChild>
                    <w:div w:id="6271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8932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dcterms:created xsi:type="dcterms:W3CDTF">2025-07-09T13:55:00Z</dcterms:created>
  <dcterms:modified xsi:type="dcterms:W3CDTF">2025-07-09T13:55:00Z</dcterms:modified>
</cp:coreProperties>
</file>