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404041"/>
          <w:left w:val="single" w:sz="6" w:space="0" w:color="404041"/>
          <w:bottom w:val="single" w:sz="6" w:space="0" w:color="404041"/>
          <w:right w:val="single" w:sz="6" w:space="0" w:color="40404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9590E" w:rsidRPr="00B9590E" w14:paraId="0578375F" w14:textId="77777777" w:rsidTr="00B9590E">
        <w:tc>
          <w:tcPr>
            <w:tcW w:w="0" w:type="auto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FAFC342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YASAL DÜZENLEME</w:t>
            </w:r>
          </w:p>
          <w:p w14:paraId="04E28157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VERGİ USUL KANUNU</w:t>
            </w: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br/>
              <w:t>Alacaklar</w:t>
            </w:r>
          </w:p>
          <w:p w14:paraId="0088893A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Madde 281- ...</w:t>
            </w:r>
          </w:p>
          <w:p w14:paraId="11052667" w14:textId="77777777" w:rsidR="00B9590E" w:rsidRPr="00B9590E" w:rsidRDefault="00B9590E" w:rsidP="00B9590E">
            <w:pPr>
              <w:spacing w:after="150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Vadesi gelmemi§ olan senede bağlı alacaklar değerleme gününün kıymetine irca olunabilir. Bu takdirde, senette faiz nispeti </w:t>
            </w:r>
            <w:proofErr w:type="spellStart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açıklanmı</w:t>
            </w:r>
            <w:proofErr w:type="spellEnd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§ ise bu nispet, </w:t>
            </w:r>
            <w:proofErr w:type="spellStart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açıklanmamı§sa</w:t>
            </w:r>
            <w:proofErr w:type="spellEnd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 Cumhuriyet Merkez Bankasının resmi ıskonto haddi uygulanır.</w:t>
            </w:r>
          </w:p>
          <w:p w14:paraId="0D9EF6F8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...</w:t>
            </w:r>
          </w:p>
          <w:p w14:paraId="267533E4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Borçlar</w:t>
            </w:r>
          </w:p>
          <w:p w14:paraId="79547EF7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Madde 285- ...</w:t>
            </w:r>
          </w:p>
          <w:p w14:paraId="3997B6B7" w14:textId="77777777" w:rsidR="00B9590E" w:rsidRPr="00B9590E" w:rsidRDefault="00B9590E" w:rsidP="00B9590E">
            <w:pPr>
              <w:spacing w:after="150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Vadesi gelmemi§ olan senede bağlı borçlar değerleme günü kıymetine irca olunabilir. Bu takdirde senette faiz nispeti </w:t>
            </w:r>
            <w:proofErr w:type="spellStart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açıklanmı§sa</w:t>
            </w:r>
            <w:proofErr w:type="spellEnd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 bu nispet, </w:t>
            </w:r>
            <w:proofErr w:type="spellStart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açıklanmamı§sa</w:t>
            </w:r>
            <w:proofErr w:type="spellEnd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 Cumhuriyet Merkez Bankasının resmi ıskonto haddinde bir faiz uygulanır.</w:t>
            </w:r>
          </w:p>
          <w:p w14:paraId="0C4958C9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...</w:t>
            </w:r>
          </w:p>
          <w:p w14:paraId="74DFC360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VERGİ USUL KANUNU GENEL TEBLİĞİ</w:t>
            </w:r>
          </w:p>
          <w:p w14:paraId="47572818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Sıra No: 238</w:t>
            </w:r>
          </w:p>
          <w:p w14:paraId="75AA020C" w14:textId="77777777" w:rsidR="00B9590E" w:rsidRPr="00B9590E" w:rsidRDefault="00B9590E" w:rsidP="00B9590E">
            <w:pPr>
              <w:spacing w:after="150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Reeskont tutarının hesaplanmasında; faiz oranı olarak reeskont </w:t>
            </w:r>
            <w:proofErr w:type="spellStart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i§lemlerinde</w:t>
            </w:r>
            <w:proofErr w:type="spellEnd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 uygulanan faiz oranı değil, kısa vadeli avans </w:t>
            </w:r>
            <w:proofErr w:type="spellStart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i§lemlerinde</w:t>
            </w:r>
            <w:proofErr w:type="spellEnd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 uygulanan faiz oranı esas alınır.</w:t>
            </w:r>
          </w:p>
          <w:p w14:paraId="161D84B1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Senede bağlı alacak ve borçlara </w:t>
            </w:r>
            <w:proofErr w:type="spellStart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ili§kin</w:t>
            </w:r>
            <w:proofErr w:type="spellEnd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 değerleme </w:t>
            </w:r>
            <w:proofErr w:type="spellStart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i§lemlerinin</w:t>
            </w:r>
            <w:proofErr w:type="spellEnd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, </w:t>
            </w: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iç ıskonto </w:t>
            </w: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metoduna göre yapılması gerekir.</w:t>
            </w:r>
          </w:p>
        </w:tc>
      </w:tr>
      <w:tr w:rsidR="00B9590E" w:rsidRPr="00B9590E" w14:paraId="06AB4E45" w14:textId="77777777" w:rsidTr="00B9590E">
        <w:tc>
          <w:tcPr>
            <w:tcW w:w="0" w:type="auto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FF0EC69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u w:val="single"/>
                <w:bdr w:val="none" w:sz="0" w:space="0" w:color="auto" w:frame="1"/>
              </w:rPr>
              <w:t>Reeskont hesaplama formülü aşağıdaki gibidir:</w:t>
            </w:r>
          </w:p>
          <w:p w14:paraId="08AA5B21" w14:textId="77777777" w:rsidR="00B9590E" w:rsidRPr="00B9590E" w:rsidRDefault="00B9590E" w:rsidP="00B9590E">
            <w:pPr>
              <w:spacing w:after="150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F = </w:t>
            </w:r>
            <w:proofErr w:type="gramStart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A -</w:t>
            </w:r>
            <w:proofErr w:type="gramEnd"/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 xml:space="preserve"> [A x 360 / (360 + m x t)]</w:t>
            </w:r>
          </w:p>
          <w:p w14:paraId="0A76B285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F: Reeskont tutarı A: Senedin nominal değeri m: Faiz oranı t: Vade</w:t>
            </w:r>
          </w:p>
        </w:tc>
      </w:tr>
    </w:tbl>
    <w:p w14:paraId="74E65826" w14:textId="77777777" w:rsidR="00B9590E" w:rsidRPr="00B9590E" w:rsidRDefault="00B9590E" w:rsidP="00B9590E">
      <w:pPr>
        <w:shd w:val="clear" w:color="auto" w:fill="FFFFFF"/>
        <w:textAlignment w:val="baseline"/>
        <w:rPr>
          <w:rFonts w:ascii="Arial" w:eastAsia="Times New Roman" w:hAnsi="Arial" w:cs="Arial"/>
          <w:vanish/>
          <w:color w:val="2D2D2D"/>
          <w:sz w:val="24"/>
          <w:szCs w:val="24"/>
        </w:rPr>
      </w:pPr>
    </w:p>
    <w:tbl>
      <w:tblPr>
        <w:tblW w:w="5000" w:type="pct"/>
        <w:tblBorders>
          <w:top w:val="single" w:sz="6" w:space="0" w:color="404041"/>
          <w:left w:val="single" w:sz="6" w:space="0" w:color="404041"/>
          <w:bottom w:val="single" w:sz="6" w:space="0" w:color="404041"/>
          <w:right w:val="single" w:sz="6" w:space="0" w:color="40404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9590E" w:rsidRPr="00B9590E" w14:paraId="731CE525" w14:textId="77777777" w:rsidTr="00B9590E">
        <w:tc>
          <w:tcPr>
            <w:tcW w:w="0" w:type="auto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3D094A7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DİKKAT</w:t>
            </w:r>
          </w:p>
          <w:p w14:paraId="33E3A568" w14:textId="77777777" w:rsidR="00B9590E" w:rsidRPr="00B9590E" w:rsidRDefault="00B9590E" w:rsidP="00B9590E">
            <w:pPr>
              <w:numPr>
                <w:ilvl w:val="0"/>
                <w:numId w:val="1"/>
              </w:numPr>
              <w:spacing w:after="375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Reeskont uygulaması zorunlu değildir. Ancak seçimin bütün alacak ve borç senetleri için yapılması şarttır.</w:t>
            </w:r>
          </w:p>
          <w:p w14:paraId="3F4D5F59" w14:textId="77777777" w:rsidR="00B9590E" w:rsidRPr="00B9590E" w:rsidRDefault="00B9590E" w:rsidP="00B9590E">
            <w:pPr>
              <w:numPr>
                <w:ilvl w:val="0"/>
                <w:numId w:val="1"/>
              </w:numPr>
              <w:spacing w:after="375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Bankalar, bankerler ve sigorta şirketleri alacak ve borçlarını reeskonta tabi tutmak zorundadırlar.</w:t>
            </w:r>
          </w:p>
          <w:p w14:paraId="164FA7A3" w14:textId="77777777" w:rsidR="00B9590E" w:rsidRPr="00B9590E" w:rsidRDefault="00B9590E" w:rsidP="00B9590E">
            <w:pPr>
              <w:numPr>
                <w:ilvl w:val="0"/>
                <w:numId w:val="1"/>
              </w:numPr>
              <w:spacing w:after="375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Reeskonta tabi tutulacak alacak veya borcun senede bağlı olması gerekir. Banka, banker ve sigorta şirketleri senede bağlı olsun veya olmasın, bütün alacak ve borçlarını reeskonta tabi tutarlar.</w:t>
            </w:r>
          </w:p>
          <w:p w14:paraId="08DEC493" w14:textId="77777777" w:rsidR="00B9590E" w:rsidRPr="00B9590E" w:rsidRDefault="00B9590E" w:rsidP="00B9590E">
            <w:pPr>
              <w:numPr>
                <w:ilvl w:val="0"/>
                <w:numId w:val="1"/>
              </w:numPr>
              <w:spacing w:after="375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Reeskonta tabi tutulacak alacak veya borç senedinin, ticari kazancın elde edilmesi ve idamesiyle ilgili ve gerçek bir alacak veya borç ilişkisine dayanması gerekir.</w:t>
            </w:r>
          </w:p>
          <w:p w14:paraId="65280342" w14:textId="77777777" w:rsidR="00B9590E" w:rsidRPr="00B9590E" w:rsidRDefault="00B9590E" w:rsidP="00B9590E">
            <w:pPr>
              <w:numPr>
                <w:ilvl w:val="0"/>
                <w:numId w:val="1"/>
              </w:numPr>
              <w:spacing w:after="375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lastRenderedPageBreak/>
              <w:t>Alacak senetlerini reeskonta tabi tutanların, borç senetlerini de reeskonta tabi tutmaları zorunludur.</w:t>
            </w:r>
          </w:p>
          <w:p w14:paraId="4B11DC3C" w14:textId="77777777" w:rsidR="00B9590E" w:rsidRPr="00B9590E" w:rsidRDefault="00B9590E" w:rsidP="00B9590E">
            <w:pPr>
              <w:numPr>
                <w:ilvl w:val="0"/>
                <w:numId w:val="1"/>
              </w:numPr>
              <w:spacing w:after="375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Reeskont, katma değer vergisi dahil alacak veya borç tutarı üzerinden hesaplanır.</w:t>
            </w:r>
          </w:p>
          <w:p w14:paraId="073ABACC" w14:textId="77777777" w:rsidR="00B9590E" w:rsidRPr="00B9590E" w:rsidRDefault="00B9590E" w:rsidP="00B9590E">
            <w:pPr>
              <w:numPr>
                <w:ilvl w:val="0"/>
                <w:numId w:val="1"/>
              </w:numPr>
              <w:spacing w:after="375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Yabancı para ile olan borç ve alacakların reeskontunda, senette faiz oranının yazılı olmadığı durumda, değerleme günüde geçerli LİBOR esas alınır.</w:t>
            </w:r>
          </w:p>
        </w:tc>
      </w:tr>
      <w:tr w:rsidR="00B9590E" w:rsidRPr="00B9590E" w14:paraId="41566DEF" w14:textId="77777777" w:rsidTr="00B9590E">
        <w:tc>
          <w:tcPr>
            <w:tcW w:w="0" w:type="auto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68FAFC2" w14:textId="77777777" w:rsidR="00B9590E" w:rsidRPr="00B9590E" w:rsidRDefault="00B9590E" w:rsidP="00B9590E">
            <w:pPr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lastRenderedPageBreak/>
              <w:t>REESKONT ORANLARI</w:t>
            </w:r>
          </w:p>
        </w:tc>
      </w:tr>
    </w:tbl>
    <w:p w14:paraId="2BC4361A" w14:textId="77777777" w:rsidR="00B9590E" w:rsidRPr="00B9590E" w:rsidRDefault="00B9590E" w:rsidP="00B9590E">
      <w:pPr>
        <w:shd w:val="clear" w:color="auto" w:fill="FFFFFF"/>
        <w:textAlignment w:val="baseline"/>
        <w:rPr>
          <w:rFonts w:ascii="Arial" w:eastAsia="Times New Roman" w:hAnsi="Arial" w:cs="Arial"/>
          <w:vanish/>
          <w:color w:val="2D2D2D"/>
          <w:sz w:val="24"/>
          <w:szCs w:val="24"/>
        </w:rPr>
      </w:pPr>
    </w:p>
    <w:tbl>
      <w:tblPr>
        <w:tblW w:w="5000" w:type="pct"/>
        <w:tblBorders>
          <w:top w:val="single" w:sz="6" w:space="0" w:color="404041"/>
          <w:left w:val="single" w:sz="6" w:space="0" w:color="404041"/>
          <w:bottom w:val="single" w:sz="6" w:space="0" w:color="404041"/>
          <w:right w:val="single" w:sz="6" w:space="0" w:color="40404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467"/>
        <w:gridCol w:w="1625"/>
        <w:gridCol w:w="1895"/>
      </w:tblGrid>
      <w:tr w:rsidR="00B9590E" w:rsidRPr="00B9590E" w14:paraId="5D50ACC6" w14:textId="77777777" w:rsidTr="00B9590E">
        <w:tc>
          <w:tcPr>
            <w:tcW w:w="3060" w:type="dxa"/>
            <w:vMerge w:val="restart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15C59D7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Dönem</w:t>
            </w:r>
          </w:p>
        </w:tc>
        <w:tc>
          <w:tcPr>
            <w:tcW w:w="4080" w:type="dxa"/>
            <w:gridSpan w:val="2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EEF5123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Resmî Gazete</w:t>
            </w:r>
          </w:p>
        </w:tc>
        <w:tc>
          <w:tcPr>
            <w:tcW w:w="1890" w:type="dxa"/>
            <w:vMerge w:val="restart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E08A938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Reeskont</w:t>
            </w: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br/>
              <w:t>Oranı (%)</w:t>
            </w:r>
          </w:p>
        </w:tc>
      </w:tr>
      <w:tr w:rsidR="00B9590E" w:rsidRPr="00B9590E" w14:paraId="681D8AA2" w14:textId="77777777" w:rsidTr="00B9590E">
        <w:tc>
          <w:tcPr>
            <w:tcW w:w="0" w:type="auto"/>
            <w:vMerge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vAlign w:val="bottom"/>
            <w:hideMark/>
          </w:tcPr>
          <w:p w14:paraId="7B010344" w14:textId="77777777" w:rsidR="00B9590E" w:rsidRPr="00B9590E" w:rsidRDefault="00B9590E" w:rsidP="00B9590E">
            <w:pPr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0E731A6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Tarih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068A783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bdr w:val="none" w:sz="0" w:space="0" w:color="auto" w:frame="1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vAlign w:val="center"/>
            <w:hideMark/>
          </w:tcPr>
          <w:p w14:paraId="79EF3051" w14:textId="77777777" w:rsidR="00B9590E" w:rsidRPr="00B9590E" w:rsidRDefault="00B9590E" w:rsidP="00B9590E">
            <w:pPr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</w:p>
        </w:tc>
      </w:tr>
      <w:tr w:rsidR="00B9590E" w:rsidRPr="00B9590E" w14:paraId="484757A7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05C68C1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30.12.2010 – 29.12.2011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42B9047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30.12.2010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64AB74E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27801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B66F810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15</w:t>
            </w:r>
          </w:p>
        </w:tc>
      </w:tr>
      <w:tr w:rsidR="00B9590E" w:rsidRPr="00B9590E" w14:paraId="148F2881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3FA7356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30.12.2011 – 18.06.2012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A27A9FE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29.12.2011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EB169F1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28157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739EEE9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17,75</w:t>
            </w:r>
          </w:p>
        </w:tc>
      </w:tr>
      <w:tr w:rsidR="00B9590E" w:rsidRPr="00B9590E" w14:paraId="71517041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31197C2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19.06.2012 – 19.12.2012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4F7BE79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19.06.2012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F530F5D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28328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0810961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16,50</w:t>
            </w:r>
          </w:p>
        </w:tc>
      </w:tr>
      <w:tr w:rsidR="00B9590E" w:rsidRPr="00B9590E" w14:paraId="5C9CD964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C4C5949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20.12.2012 – 20.06.2013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80A2BA5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12.12.2012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93948E3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28503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5ADEE53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13,75</w:t>
            </w:r>
          </w:p>
        </w:tc>
      </w:tr>
      <w:tr w:rsidR="00B9590E" w:rsidRPr="00B9590E" w14:paraId="1386EB71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84CB91C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21.06.2013 – 26.12.2013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2660A3E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21.06.2013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FA3A04D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28684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3497128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11,00</w:t>
            </w:r>
          </w:p>
        </w:tc>
      </w:tr>
      <w:tr w:rsidR="00B9590E" w:rsidRPr="00B9590E" w14:paraId="6F9D3D5F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A0314B5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27.12.2013 – 13.12.2014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33E489C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27.12.2013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7744EE2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28864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402EF25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11,75</w:t>
            </w:r>
          </w:p>
        </w:tc>
      </w:tr>
      <w:tr w:rsidR="00B9590E" w:rsidRPr="00B9590E" w14:paraId="6036BFBE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E486B08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14.12.2014 – 30.12.2016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B3F061F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24.12.2014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BDAA29C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29205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D9D223A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10,50</w:t>
            </w:r>
          </w:p>
        </w:tc>
      </w:tr>
      <w:tr w:rsidR="00B9590E" w:rsidRPr="00B9590E" w14:paraId="39855B1E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F66D077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31.12.2016 – 28.06.2018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658230D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31.12.2016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E455794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29935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53DA8E6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9,75</w:t>
            </w:r>
          </w:p>
        </w:tc>
      </w:tr>
      <w:tr w:rsidR="00B9590E" w:rsidRPr="00B9590E" w14:paraId="744BE65B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C056663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29.06.2018 – 10.10.2019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635D1AA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29.06.2018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9B9173C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30463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CBD46A5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19,50</w:t>
            </w:r>
          </w:p>
        </w:tc>
      </w:tr>
      <w:tr w:rsidR="00B9590E" w:rsidRPr="00B9590E" w14:paraId="54C4D367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ED116AA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10.10.2019 – 20.12.2019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65F36EC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11.10.2019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DCADA4C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30915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A2551EE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18,25</w:t>
            </w:r>
          </w:p>
        </w:tc>
      </w:tr>
      <w:tr w:rsidR="00B9590E" w:rsidRPr="00B9590E" w14:paraId="30DA7D7E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DEEFC3F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21.12.2019 – 12.06.2020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44FD0F4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21.12.2019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5101934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30985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5A39D68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13,75</w:t>
            </w:r>
          </w:p>
        </w:tc>
      </w:tr>
      <w:tr w:rsidR="00B9590E" w:rsidRPr="00B9590E" w14:paraId="453B611F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90D1507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13.06.2020 – 18.12.2020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5EC879C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13.06.2020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E1B2BE3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31154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36F707D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10,00</w:t>
            </w:r>
          </w:p>
        </w:tc>
      </w:tr>
      <w:tr w:rsidR="00B9590E" w:rsidRPr="00B9590E" w14:paraId="022F4A74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209C9D1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19.12.2020 – 30.12.2021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C900B74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19.12.2020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D142147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31339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84D8D36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16,75</w:t>
            </w:r>
          </w:p>
        </w:tc>
      </w:tr>
      <w:tr w:rsidR="00B9590E" w:rsidRPr="00B9590E" w14:paraId="3A142FB1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B4804F4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31.12.2021 – 30.12.2022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4F2E30D" w14:textId="77777777" w:rsidR="00B9590E" w:rsidRPr="00B9590E" w:rsidRDefault="00B9590E" w:rsidP="00B9590E">
            <w:pPr>
              <w:spacing w:after="150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02.01.2022</w:t>
            </w:r>
          </w:p>
          <w:p w14:paraId="34FD558C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03.01.2022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5C79DF1" w14:textId="77777777" w:rsidR="00B9590E" w:rsidRPr="00B9590E" w:rsidRDefault="00B9590E" w:rsidP="00B9590E">
            <w:pPr>
              <w:spacing w:after="150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31707</w:t>
            </w:r>
          </w:p>
          <w:p w14:paraId="06032EB3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31708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3233E27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15,75</w:t>
            </w:r>
          </w:p>
        </w:tc>
      </w:tr>
      <w:tr w:rsidR="00B9590E" w:rsidRPr="00B9590E" w14:paraId="2A3A443E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37664C1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31.12.2022 –23.06.2023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0041694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31.12.2022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7E31D23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32060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EE1745E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10,75</w:t>
            </w:r>
          </w:p>
        </w:tc>
      </w:tr>
      <w:tr w:rsidR="00B9590E" w:rsidRPr="00B9590E" w14:paraId="16A56959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858CF60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24.06.2023 – 31.08.2023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21848FA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24.06.2023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8B47404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32231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DD38515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16,75</w:t>
            </w:r>
          </w:p>
        </w:tc>
      </w:tr>
      <w:tr w:rsidR="00B9590E" w:rsidRPr="00B9590E" w14:paraId="49AE5909" w14:textId="77777777" w:rsidTr="00B9590E">
        <w:tc>
          <w:tcPr>
            <w:tcW w:w="30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2C73254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01.09.2023 –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EE2A6CC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01.09.2023</w:t>
            </w:r>
          </w:p>
        </w:tc>
        <w:tc>
          <w:tcPr>
            <w:tcW w:w="162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8259144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32296</w:t>
            </w:r>
          </w:p>
        </w:tc>
        <w:tc>
          <w:tcPr>
            <w:tcW w:w="1890" w:type="dxa"/>
            <w:tcBorders>
              <w:top w:val="outset" w:sz="2" w:space="0" w:color="auto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442972C" w14:textId="77777777" w:rsidR="00B9590E" w:rsidRPr="00B9590E" w:rsidRDefault="00B9590E" w:rsidP="00B9590E">
            <w:pPr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</w:rPr>
            </w:pPr>
            <w:r w:rsidRPr="00B9590E">
              <w:rPr>
                <w:rFonts w:ascii="Arial" w:eastAsia="Times New Roman" w:hAnsi="Arial" w:cs="Arial"/>
                <w:color w:val="404041"/>
                <w:sz w:val="24"/>
                <w:szCs w:val="24"/>
              </w:rPr>
              <w:t>26,75</w:t>
            </w:r>
          </w:p>
        </w:tc>
      </w:tr>
    </w:tbl>
    <w:p w14:paraId="409A973F" w14:textId="77777777" w:rsidR="00B9590E" w:rsidRPr="00B9590E" w:rsidRDefault="00B9590E" w:rsidP="00B9590E">
      <w:pPr>
        <w:shd w:val="clear" w:color="auto" w:fill="FFFFFF"/>
        <w:textAlignment w:val="baseline"/>
        <w:rPr>
          <w:rFonts w:ascii="Arial" w:eastAsia="Times New Roman" w:hAnsi="Arial" w:cs="Arial"/>
          <w:color w:val="2D2D2D"/>
          <w:sz w:val="24"/>
          <w:szCs w:val="24"/>
        </w:rPr>
      </w:pPr>
      <w:r w:rsidRPr="00B9590E">
        <w:rPr>
          <w:rFonts w:ascii="Arial" w:eastAsia="Times New Roman" w:hAnsi="Arial" w:cs="Arial"/>
          <w:b/>
          <w:bCs/>
          <w:color w:val="2D2D2D"/>
          <w:sz w:val="24"/>
          <w:szCs w:val="24"/>
          <w:bdr w:val="none" w:sz="0" w:space="0" w:color="auto" w:frame="1"/>
        </w:rPr>
        <w:t>İlgili Merkez Bankası Tebliğine aşağıdaki link vasıtasıyla ulaşabilirsiniz.</w:t>
      </w:r>
    </w:p>
    <w:p w14:paraId="160BA01D" w14:textId="77777777" w:rsidR="00BD0B9A" w:rsidRDefault="00BD0B9A" w:rsidP="00E94B28"/>
    <w:p w14:paraId="17521481" w14:textId="77777777" w:rsidR="00215692" w:rsidRDefault="00215692" w:rsidP="00E94B28"/>
    <w:p w14:paraId="7986C081" w14:textId="77777777" w:rsidR="00333860" w:rsidRDefault="00333860" w:rsidP="00333860"/>
    <w:p w14:paraId="44628C16" w14:textId="75E327CC" w:rsidR="00333860" w:rsidRDefault="00333860" w:rsidP="001469DB">
      <w:pPr>
        <w:spacing w:line="300" w:lineRule="atLeast"/>
        <w:jc w:val="center"/>
      </w:pPr>
      <w:r>
        <w:rPr>
          <w:sz w:val="40"/>
          <w:szCs w:val="40"/>
        </w:rPr>
        <w:t> </w:t>
      </w:r>
    </w:p>
    <w:p w14:paraId="698E2418" w14:textId="2970CF46" w:rsidR="00215692" w:rsidRPr="00215692" w:rsidRDefault="00215692" w:rsidP="00E94B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5692" w:rsidRPr="00215692" w:rsidSect="00E6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C94"/>
    <w:multiLevelType w:val="multilevel"/>
    <w:tmpl w:val="569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7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CB"/>
    <w:rsid w:val="00031CCB"/>
    <w:rsid w:val="001469DB"/>
    <w:rsid w:val="001E483E"/>
    <w:rsid w:val="00215692"/>
    <w:rsid w:val="00333860"/>
    <w:rsid w:val="005848C1"/>
    <w:rsid w:val="007F4928"/>
    <w:rsid w:val="00B9590E"/>
    <w:rsid w:val="00BD0B9A"/>
    <w:rsid w:val="00C177D4"/>
    <w:rsid w:val="00CF7E10"/>
    <w:rsid w:val="00E6164E"/>
    <w:rsid w:val="00E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E5"/>
  <w15:chartTrackingRefBased/>
  <w15:docId w15:val="{AB5FDDA2-F9D7-4C4F-826B-CA41309C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60"/>
    <w:pPr>
      <w:spacing w:after="0" w:line="240" w:lineRule="auto"/>
    </w:pPr>
    <w:rPr>
      <w:rFonts w:ascii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848C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8C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D0B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59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95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670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99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68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26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Adana Sanayi Odası</cp:lastModifiedBy>
  <cp:revision>2</cp:revision>
  <cp:lastPrinted>2023-09-04T06:52:00Z</cp:lastPrinted>
  <dcterms:created xsi:type="dcterms:W3CDTF">2023-09-04T13:07:00Z</dcterms:created>
  <dcterms:modified xsi:type="dcterms:W3CDTF">2023-09-04T13:07:00Z</dcterms:modified>
</cp:coreProperties>
</file>