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DB" w:rsidRDefault="008223DB" w:rsidP="008223DB">
      <w:pPr>
        <w:pStyle w:val="Heading1"/>
        <w:jc w:val="center"/>
        <w:rPr>
          <w:lang w:eastAsia="en-US"/>
        </w:rPr>
      </w:pPr>
      <w:r>
        <w:rPr>
          <w:lang w:eastAsia="en-US"/>
        </w:rPr>
        <w:t>Türk Eximbank – MEHIB Reasürans Anlaşması</w:t>
      </w:r>
    </w:p>
    <w:p w:rsidR="008223DB" w:rsidRDefault="008223DB" w:rsidP="008223DB">
      <w:pPr>
        <w:jc w:val="both"/>
        <w:rPr>
          <w:rFonts w:ascii="Trebuchet MS" w:hAnsi="Trebuchet MS"/>
          <w:color w:val="0D0D0D"/>
          <w:sz w:val="22"/>
          <w:szCs w:val="22"/>
          <w:lang w:eastAsia="en-US"/>
        </w:rPr>
      </w:pPr>
    </w:p>
    <w:p w:rsidR="008223DB" w:rsidRDefault="008223DB" w:rsidP="008223DB">
      <w:pPr>
        <w:jc w:val="both"/>
        <w:rPr>
          <w:rFonts w:ascii="Calibri" w:hAnsi="Calibri" w:cs="Calibri"/>
        </w:rPr>
      </w:pPr>
      <w:r>
        <w:rPr>
          <w:rFonts w:ascii="Calibri" w:hAnsi="Calibri" w:cs="Calibri"/>
          <w:lang w:eastAsia="en-US"/>
        </w:rPr>
        <w:t>Türk Eximbank</w:t>
      </w:r>
      <w:r>
        <w:rPr>
          <w:rFonts w:ascii="Calibri" w:hAnsi="Calibri" w:cs="Calibri"/>
          <w:color w:val="0D0D0D"/>
        </w:rPr>
        <w:t xml:space="preserve"> ile </w:t>
      </w:r>
      <w:r>
        <w:rPr>
          <w:rFonts w:ascii="Calibri" w:hAnsi="Calibri" w:cs="Calibri"/>
          <w:color w:val="0D0D0D" w:themeColor="text1" w:themeTint="F2"/>
          <w:lang w:eastAsia="en-US"/>
        </w:rPr>
        <w:t>Macaristan</w:t>
      </w:r>
      <w:r>
        <w:rPr>
          <w:rFonts w:ascii="Calibri" w:hAnsi="Calibri" w:cs="Calibri"/>
          <w:lang w:eastAsia="en-US"/>
        </w:rPr>
        <w:t xml:space="preserve"> ihracat destek kuruluşu </w:t>
      </w:r>
      <w:r>
        <w:rPr>
          <w:rFonts w:ascii="Calibri" w:hAnsi="Calibri" w:cs="Calibri"/>
          <w:color w:val="0D0D0D" w:themeColor="text1" w:themeTint="F2"/>
          <w:lang w:eastAsia="en-US"/>
        </w:rPr>
        <w:t>MEHIB</w:t>
      </w:r>
      <w:r>
        <w:rPr>
          <w:rFonts w:ascii="Calibri" w:hAnsi="Calibri" w:cs="Calibri"/>
          <w:color w:val="0D0D0D"/>
        </w:rPr>
        <w:t xml:space="preserve"> arasında </w:t>
      </w:r>
      <w:r>
        <w:rPr>
          <w:rFonts w:ascii="Calibri" w:hAnsi="Calibri" w:cs="Calibri"/>
          <w:color w:val="0D0D0D" w:themeColor="text1" w:themeTint="F2"/>
        </w:rPr>
        <w:t>8 Şubat</w:t>
      </w:r>
      <w:r>
        <w:rPr>
          <w:rFonts w:ascii="Calibri" w:hAnsi="Calibri" w:cs="Calibri"/>
          <w:color w:val="0D0D0D"/>
        </w:rPr>
        <w:t xml:space="preserve"> 2021 tarihinde imzalanan Reasürans </w:t>
      </w:r>
      <w:r>
        <w:rPr>
          <w:rFonts w:ascii="Calibri" w:hAnsi="Calibri" w:cs="Calibri"/>
        </w:rPr>
        <w:t>Anlaşma</w:t>
      </w:r>
      <w:r>
        <w:rPr>
          <w:rFonts w:ascii="Calibri" w:hAnsi="Calibri" w:cs="Calibri"/>
          <w:color w:val="0D0D0D"/>
        </w:rPr>
        <w:t>sı</w:t>
      </w:r>
      <w:r>
        <w:rPr>
          <w:rFonts w:ascii="Calibri" w:hAnsi="Calibri" w:cs="Calibri"/>
          <w:b/>
          <w:bCs/>
        </w:rPr>
        <w:t xml:space="preserve"> </w:t>
      </w:r>
      <w:r>
        <w:rPr>
          <w:rFonts w:ascii="Calibri" w:hAnsi="Calibri" w:cs="Calibri"/>
        </w:rPr>
        <w:t xml:space="preserve">ile aşağıda belirtilen koşullar oluştuğu takdirde Türk Eximbank ve </w:t>
      </w:r>
      <w:r>
        <w:rPr>
          <w:rFonts w:ascii="Calibri" w:hAnsi="Calibri" w:cs="Calibri"/>
          <w:color w:val="0D0D0D" w:themeColor="text1" w:themeTint="F2"/>
        </w:rPr>
        <w:t>MEHIB</w:t>
      </w:r>
      <w:r>
        <w:rPr>
          <w:rFonts w:ascii="Calibri" w:hAnsi="Calibri" w:cs="Calibri"/>
        </w:rPr>
        <w:t>’in ortaklaşa sağlayacakları finansmanın koşulları düzenlenmektir:</w:t>
      </w:r>
    </w:p>
    <w:p w:rsidR="008223DB" w:rsidRDefault="008223DB" w:rsidP="008223DB">
      <w:pPr>
        <w:pStyle w:val="ListParagraph"/>
        <w:numPr>
          <w:ilvl w:val="1"/>
          <w:numId w:val="1"/>
        </w:numPr>
        <w:jc w:val="both"/>
        <w:rPr>
          <w:sz w:val="24"/>
          <w:szCs w:val="24"/>
        </w:rPr>
      </w:pPr>
      <w:r>
        <w:rPr>
          <w:sz w:val="24"/>
          <w:szCs w:val="24"/>
        </w:rPr>
        <w:t xml:space="preserve">Türk ve </w:t>
      </w:r>
      <w:r>
        <w:rPr>
          <w:color w:val="0D0D0D" w:themeColor="text1" w:themeTint="F2"/>
          <w:sz w:val="24"/>
          <w:szCs w:val="24"/>
        </w:rPr>
        <w:t>Macaristan</w:t>
      </w:r>
      <w:r>
        <w:rPr>
          <w:sz w:val="24"/>
          <w:szCs w:val="24"/>
        </w:rPr>
        <w:t xml:space="preserve"> firmaların ortaklaşa olarak üçüncü bir ülkede yerleşik bir alıcıyla aynı ihracat işlemi kapsamında mal ve/veya hizmet ihracatına yönelik sözleşme imzalamış olması, </w:t>
      </w:r>
    </w:p>
    <w:p w:rsidR="008223DB" w:rsidRDefault="008223DB" w:rsidP="008223DB">
      <w:pPr>
        <w:pStyle w:val="ListParagraph"/>
        <w:numPr>
          <w:ilvl w:val="1"/>
          <w:numId w:val="1"/>
        </w:numPr>
        <w:jc w:val="both"/>
        <w:rPr>
          <w:sz w:val="24"/>
          <w:szCs w:val="24"/>
        </w:rPr>
      </w:pPr>
      <w:r>
        <w:rPr>
          <w:sz w:val="24"/>
          <w:szCs w:val="24"/>
        </w:rPr>
        <w:t>Bir tedarikçi ve/veya bankanın, Taraflardan birine kredi sigortasına yönelik başvuruda bulunmuş olması,</w:t>
      </w:r>
    </w:p>
    <w:p w:rsidR="008223DB" w:rsidRDefault="008223DB" w:rsidP="008223DB">
      <w:pPr>
        <w:pStyle w:val="ListParagraph"/>
        <w:numPr>
          <w:ilvl w:val="1"/>
          <w:numId w:val="1"/>
        </w:numPr>
        <w:jc w:val="both"/>
        <w:rPr>
          <w:sz w:val="24"/>
          <w:szCs w:val="24"/>
        </w:rPr>
      </w:pPr>
      <w:r>
        <w:rPr>
          <w:sz w:val="24"/>
          <w:szCs w:val="24"/>
        </w:rPr>
        <w:t>Diğer kuruluşun kendi ülkesinden gerçekleşen mal ve/veya hizmet ihracatına reasürans sağlaması koşuluyla Taraflardan birisinin ihracat kontratı ve/veya bununla ilişkili kredi anlaşmasına sigorta sağlamaya hazır olması.</w:t>
      </w:r>
    </w:p>
    <w:p w:rsidR="008223DB" w:rsidRDefault="008223DB" w:rsidP="008223DB">
      <w:pPr>
        <w:jc w:val="both"/>
        <w:rPr>
          <w:rFonts w:ascii="Calibri" w:hAnsi="Calibri" w:cs="Calibri"/>
          <w:lang w:eastAsia="en-US"/>
        </w:rPr>
      </w:pPr>
      <w:r>
        <w:rPr>
          <w:rFonts w:ascii="Calibri" w:hAnsi="Calibri" w:cs="Calibri"/>
          <w:lang w:eastAsia="en-US"/>
        </w:rPr>
        <w:t xml:space="preserve">Mekanizma Türk Eximbank veya </w:t>
      </w:r>
      <w:r>
        <w:rPr>
          <w:rFonts w:ascii="Calibri" w:hAnsi="Calibri" w:cs="Calibri"/>
          <w:color w:val="0D0D0D" w:themeColor="text1" w:themeTint="F2"/>
          <w:lang w:eastAsia="en-US"/>
        </w:rPr>
        <w:t>MEHIB</w:t>
      </w:r>
      <w:r>
        <w:rPr>
          <w:rFonts w:ascii="Calibri" w:hAnsi="Calibri" w:cs="Calibri"/>
          <w:lang w:eastAsia="en-US"/>
        </w:rPr>
        <w:t xml:space="preserve">’den birinin Sigortacı diğerinin ise Reasürör olacağı şekilde kurgulanmıştır. İşlem bazında taraflarca tekrar değerlendirilme hakkı saklı kalmak kaydıyla, genel kural olarak ana yüklenicinin ülkesinin ihracat destek kuruluşu Sigortacı, diğer kuruluş ise Reasürör olacaktır. </w:t>
      </w:r>
      <w:r w:rsidR="00104E81">
        <w:rPr>
          <w:rFonts w:ascii="Calibri" w:hAnsi="Calibri" w:cs="Calibri"/>
          <w:lang w:eastAsia="en-US"/>
        </w:rPr>
        <w:t>Türk Eximbank’ın</w:t>
      </w:r>
      <w:r>
        <w:rPr>
          <w:rFonts w:ascii="Calibri" w:hAnsi="Calibri" w:cs="Calibri"/>
          <w:lang w:eastAsia="en-US"/>
        </w:rPr>
        <w:t xml:space="preserve"> Reasürör konumunda olacağı örnek bir işlem için şema aşağıda </w:t>
      </w:r>
      <w:r w:rsidR="00104E81">
        <w:rPr>
          <w:rFonts w:ascii="Calibri" w:hAnsi="Calibri" w:cs="Calibri"/>
          <w:lang w:eastAsia="en-US"/>
        </w:rPr>
        <w:t>yer almaktadı</w:t>
      </w:r>
      <w:r>
        <w:rPr>
          <w:rFonts w:ascii="Calibri" w:hAnsi="Calibri" w:cs="Calibri"/>
          <w:lang w:eastAsia="en-US"/>
        </w:rPr>
        <w:t>r.</w:t>
      </w:r>
    </w:p>
    <w:p w:rsidR="008223DB" w:rsidRDefault="00087985" w:rsidP="008223DB">
      <w:pPr>
        <w:ind w:hanging="142"/>
        <w:jc w:val="center"/>
        <w:rPr>
          <w:rFonts w:ascii="Calibri" w:hAnsi="Calibri" w:cs="Calibri"/>
          <w:lang w:eastAsia="en-US"/>
        </w:rPr>
      </w:pPr>
      <w:r>
        <w:rPr>
          <w:noProof/>
        </w:rPr>
        <w:drawing>
          <wp:inline distT="0" distB="0" distL="0" distR="0" wp14:anchorId="1860BB86" wp14:editId="6FCBE914">
            <wp:extent cx="5760720" cy="307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073400"/>
                    </a:xfrm>
                    <a:prstGeom prst="rect">
                      <a:avLst/>
                    </a:prstGeom>
                  </pic:spPr>
                </pic:pic>
              </a:graphicData>
            </a:graphic>
          </wp:inline>
        </w:drawing>
      </w:r>
    </w:p>
    <w:p w:rsidR="008223DB" w:rsidRDefault="008223DB" w:rsidP="008223DB">
      <w:pPr>
        <w:pStyle w:val="BodyTextIndent2"/>
        <w:spacing w:after="120" w:line="276" w:lineRule="auto"/>
        <w:ind w:firstLine="0"/>
        <w:rPr>
          <w:rFonts w:ascii="Calibri" w:hAnsi="Calibri" w:cs="Calibri"/>
          <w:b w:val="0"/>
          <w:bCs w:val="0"/>
          <w:i w:val="0"/>
          <w:iCs w:val="0"/>
          <w:sz w:val="24"/>
          <w:szCs w:val="24"/>
        </w:rPr>
      </w:pPr>
      <w:r>
        <w:rPr>
          <w:rFonts w:ascii="Calibri" w:hAnsi="Calibri" w:cs="Calibri"/>
          <w:b w:val="0"/>
          <w:bCs w:val="0"/>
          <w:i w:val="0"/>
          <w:iCs w:val="0"/>
          <w:sz w:val="24"/>
          <w:szCs w:val="24"/>
        </w:rPr>
        <w:t xml:space="preserve">Kurulan mekanizma ile Sigortacı kuruluş hem Türkiye hem de </w:t>
      </w:r>
      <w:r>
        <w:rPr>
          <w:rFonts w:ascii="Calibri" w:hAnsi="Calibri" w:cs="Calibri"/>
          <w:b w:val="0"/>
          <w:bCs w:val="0"/>
          <w:i w:val="0"/>
          <w:iCs w:val="0"/>
          <w:color w:val="0D0D0D" w:themeColor="text1" w:themeTint="F2"/>
          <w:sz w:val="24"/>
          <w:szCs w:val="24"/>
        </w:rPr>
        <w:t>Macaristan</w:t>
      </w:r>
      <w:r>
        <w:rPr>
          <w:rFonts w:ascii="Calibri" w:hAnsi="Calibri" w:cs="Calibri"/>
          <w:b w:val="0"/>
          <w:bCs w:val="0"/>
          <w:i w:val="0"/>
          <w:iCs w:val="0"/>
          <w:sz w:val="24"/>
          <w:szCs w:val="24"/>
        </w:rPr>
        <w:t xml:space="preserve"> ihracatına ilişkin olarak verilecek krediyi kapsama alırken, Reasürör kuruluş da kendi ülkesinden yapılacak ihracat oranında Sigortacıya güvence sağlamaktadır. Bu sayede hem kuruluşlar arasında risk paylaşımı gerçekleştirilmekte hem de işleme ilişkin tüm prosedürler Sigortacı kuruluşun yetki ve sorumluluğunda yürütüleceğinden ortak finansal koşullarda, tek elden ve daha hızlı bir kredi tahsis süreci sağlanmaktadır.</w:t>
      </w:r>
    </w:p>
    <w:p w:rsidR="008223DB" w:rsidRDefault="00104E81" w:rsidP="008223DB">
      <w:pPr>
        <w:pStyle w:val="BodyTextIndent2"/>
        <w:spacing w:after="120" w:line="276" w:lineRule="auto"/>
        <w:ind w:firstLine="0"/>
        <w:rPr>
          <w:rFonts w:ascii="Calibri" w:hAnsi="Calibri" w:cs="Calibri"/>
          <w:b w:val="0"/>
          <w:bCs w:val="0"/>
          <w:i w:val="0"/>
          <w:iCs w:val="0"/>
          <w:sz w:val="24"/>
          <w:szCs w:val="24"/>
        </w:rPr>
      </w:pPr>
      <w:r>
        <w:rPr>
          <w:rFonts w:ascii="Calibri" w:hAnsi="Calibri" w:cs="Calibri"/>
          <w:b w:val="0"/>
          <w:bCs w:val="0"/>
          <w:i w:val="0"/>
          <w:iCs w:val="0"/>
          <w:sz w:val="24"/>
          <w:szCs w:val="24"/>
        </w:rPr>
        <w:t>Türk Eximb</w:t>
      </w:r>
      <w:r w:rsidR="008223DB">
        <w:rPr>
          <w:rFonts w:ascii="Calibri" w:hAnsi="Calibri" w:cs="Calibri"/>
          <w:b w:val="0"/>
          <w:bCs w:val="0"/>
          <w:i w:val="0"/>
          <w:iCs w:val="0"/>
          <w:sz w:val="24"/>
          <w:szCs w:val="24"/>
        </w:rPr>
        <w:t>ank</w:t>
      </w:r>
      <w:r>
        <w:rPr>
          <w:rFonts w:ascii="Calibri" w:hAnsi="Calibri" w:cs="Calibri"/>
          <w:b w:val="0"/>
          <w:bCs w:val="0"/>
          <w:i w:val="0"/>
          <w:iCs w:val="0"/>
          <w:sz w:val="24"/>
          <w:szCs w:val="24"/>
        </w:rPr>
        <w:t>’</w:t>
      </w:r>
      <w:r w:rsidR="008223DB">
        <w:rPr>
          <w:rFonts w:ascii="Calibri" w:hAnsi="Calibri" w:cs="Calibri"/>
          <w:b w:val="0"/>
          <w:bCs w:val="0"/>
          <w:i w:val="0"/>
          <w:iCs w:val="0"/>
          <w:sz w:val="24"/>
          <w:szCs w:val="24"/>
        </w:rPr>
        <w:t>ın mevcut politikaları çerçevesinde, yalnızca borçlusu devlet ya da devlet garantisi altında borçlanan kuruluşlar olan işlemler kapsama alınmaktadır. Projelere ilişkin üçüncü ülke katkıları kapsama alınmamakta</w:t>
      </w:r>
      <w:r w:rsidR="008223DB">
        <w:rPr>
          <w:rFonts w:ascii="Calibri" w:hAnsi="Calibri" w:cs="Calibri"/>
          <w:b w:val="0"/>
          <w:bCs w:val="0"/>
          <w:i w:val="0"/>
          <w:iCs w:val="0"/>
          <w:color w:val="0D0D0D"/>
          <w:sz w:val="24"/>
          <w:szCs w:val="24"/>
        </w:rPr>
        <w:t>,</w:t>
      </w:r>
      <w:r w:rsidR="008223DB">
        <w:rPr>
          <w:rFonts w:ascii="Calibri" w:hAnsi="Calibri" w:cs="Calibri"/>
          <w:b w:val="0"/>
          <w:bCs w:val="0"/>
          <w:i w:val="0"/>
          <w:iCs w:val="0"/>
          <w:sz w:val="24"/>
          <w:szCs w:val="24"/>
        </w:rPr>
        <w:t xml:space="preserve"> yerel harcamaların kapsama alınıp alınmayacağına ise işlem bazında karar verilmektedir.</w:t>
      </w:r>
    </w:p>
    <w:p w:rsidR="00947F81" w:rsidRDefault="008223DB" w:rsidP="00087985">
      <w:pPr>
        <w:pStyle w:val="BodyTextIndent2"/>
        <w:spacing w:after="120" w:line="276" w:lineRule="auto"/>
        <w:ind w:firstLine="0"/>
      </w:pPr>
      <w:r>
        <w:rPr>
          <w:rFonts w:ascii="Calibri" w:hAnsi="Calibri" w:cs="Calibri"/>
          <w:b w:val="0"/>
          <w:bCs w:val="0"/>
          <w:i w:val="0"/>
          <w:iCs w:val="0"/>
          <w:color w:val="0D0D0D" w:themeColor="text1" w:themeTint="F2"/>
          <w:sz w:val="24"/>
          <w:szCs w:val="24"/>
        </w:rPr>
        <w:t>Türk Eximbank’ın</w:t>
      </w:r>
      <w:r>
        <w:rPr>
          <w:rFonts w:ascii="Calibri" w:hAnsi="Calibri" w:cs="Calibri"/>
          <w:b w:val="0"/>
          <w:bCs w:val="0"/>
          <w:i w:val="0"/>
          <w:iCs w:val="0"/>
          <w:sz w:val="24"/>
          <w:szCs w:val="24"/>
        </w:rPr>
        <w:t xml:space="preserve"> </w:t>
      </w:r>
      <w:r>
        <w:rPr>
          <w:rFonts w:ascii="Calibri" w:hAnsi="Calibri" w:cs="Calibri"/>
          <w:b w:val="0"/>
          <w:bCs w:val="0"/>
          <w:i w:val="0"/>
          <w:iCs w:val="0"/>
          <w:color w:val="0D0D0D" w:themeColor="text1" w:themeTint="F2"/>
          <w:sz w:val="24"/>
          <w:szCs w:val="24"/>
        </w:rPr>
        <w:t>Macaristan’ın</w:t>
      </w:r>
      <w:r>
        <w:rPr>
          <w:rFonts w:ascii="Calibri" w:hAnsi="Calibri" w:cs="Calibri"/>
          <w:b w:val="0"/>
          <w:bCs w:val="0"/>
          <w:i w:val="0"/>
          <w:iCs w:val="0"/>
          <w:sz w:val="24"/>
          <w:szCs w:val="24"/>
        </w:rPr>
        <w:t xml:space="preserve"> yanı sıra ABD, Birleşik Krallık, Fransa, Danimarka</w:t>
      </w:r>
      <w:r>
        <w:rPr>
          <w:rFonts w:ascii="Calibri" w:hAnsi="Calibri" w:cs="Calibri"/>
          <w:b w:val="0"/>
          <w:bCs w:val="0"/>
          <w:i w:val="0"/>
          <w:iCs w:val="0"/>
          <w:color w:val="0D0D0D" w:themeColor="text1" w:themeTint="F2"/>
          <w:sz w:val="24"/>
          <w:szCs w:val="24"/>
        </w:rPr>
        <w:t>, İsveç</w:t>
      </w:r>
      <w:r>
        <w:rPr>
          <w:rFonts w:ascii="Calibri" w:hAnsi="Calibri" w:cs="Calibri"/>
          <w:b w:val="0"/>
          <w:bCs w:val="0"/>
          <w:i w:val="0"/>
          <w:iCs w:val="0"/>
          <w:sz w:val="24"/>
          <w:szCs w:val="24"/>
        </w:rPr>
        <w:t xml:space="preserve"> ve </w:t>
      </w:r>
      <w:r>
        <w:rPr>
          <w:rFonts w:ascii="Calibri" w:hAnsi="Calibri" w:cs="Calibri"/>
          <w:b w:val="0"/>
          <w:bCs w:val="0"/>
          <w:i w:val="0"/>
          <w:iCs w:val="0"/>
          <w:color w:val="0D0D0D" w:themeColor="text1" w:themeTint="F2"/>
          <w:sz w:val="24"/>
          <w:szCs w:val="24"/>
        </w:rPr>
        <w:t>Avusturya</w:t>
      </w:r>
      <w:r>
        <w:rPr>
          <w:rFonts w:ascii="Calibri" w:hAnsi="Calibri" w:cs="Calibri"/>
          <w:b w:val="0"/>
          <w:bCs w:val="0"/>
          <w:i w:val="0"/>
          <w:iCs w:val="0"/>
          <w:sz w:val="24"/>
          <w:szCs w:val="24"/>
        </w:rPr>
        <w:t xml:space="preserve"> ihracat kredi kuruluşları ile imzalanmış reasürans anlaşmaları da bulunmaktadır. </w:t>
      </w:r>
      <w:bookmarkStart w:id="0" w:name="_GoBack"/>
      <w:bookmarkEnd w:id="0"/>
    </w:p>
    <w:sectPr w:rsidR="00947F81" w:rsidSect="008223DB">
      <w:footerReference w:type="default" r:id="rId10"/>
      <w:pgSz w:w="11906" w:h="16838"/>
      <w:pgMar w:top="426" w:right="1417" w:bottom="709"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59F" w:rsidRDefault="00B8759F" w:rsidP="008223DB">
      <w:r>
        <w:separator/>
      </w:r>
    </w:p>
  </w:endnote>
  <w:endnote w:type="continuationSeparator" w:id="0">
    <w:p w:rsidR="00B8759F" w:rsidRDefault="00B8759F" w:rsidP="0082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DB" w:rsidRDefault="008223DB" w:rsidP="008223DB">
    <w:pPr>
      <w:pStyle w:val="Footer"/>
      <w:jc w:val="center"/>
    </w:pPr>
    <w:r>
      <w:t>Türk Eximbank Uluslararası İlişkiler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59F" w:rsidRDefault="00B8759F" w:rsidP="008223DB">
      <w:r>
        <w:separator/>
      </w:r>
    </w:p>
  </w:footnote>
  <w:footnote w:type="continuationSeparator" w:id="0">
    <w:p w:rsidR="00B8759F" w:rsidRDefault="00B8759F" w:rsidP="00822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3BAE"/>
    <w:multiLevelType w:val="hybridMultilevel"/>
    <w:tmpl w:val="1758D4E4"/>
    <w:lvl w:ilvl="0" w:tplc="8C5E9EA8">
      <w:start w:val="1"/>
      <w:numFmt w:val="bullet"/>
      <w:lvlText w:val="»"/>
      <w:lvlJc w:val="left"/>
      <w:pPr>
        <w:ind w:left="720" w:hanging="360"/>
      </w:pPr>
      <w:rPr>
        <w:rFonts w:ascii="Calibri" w:hAnsi="Calibri" w:cs="Times New Roman" w:hint="default"/>
      </w:rPr>
    </w:lvl>
    <w:lvl w:ilvl="1" w:tplc="041F001B">
      <w:start w:val="1"/>
      <w:numFmt w:val="lowerRoman"/>
      <w:lvlText w:val="%2."/>
      <w:lvlJc w:val="right"/>
      <w:pPr>
        <w:ind w:left="1440" w:hanging="360"/>
      </w:p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7E"/>
    <w:rsid w:val="00087985"/>
    <w:rsid w:val="00104E81"/>
    <w:rsid w:val="00115CD6"/>
    <w:rsid w:val="002B2ED0"/>
    <w:rsid w:val="0042397E"/>
    <w:rsid w:val="004433E7"/>
    <w:rsid w:val="008223DB"/>
    <w:rsid w:val="00B83C3B"/>
    <w:rsid w:val="00B8759F"/>
    <w:rsid w:val="00DB60B6"/>
    <w:rsid w:val="00DE7849"/>
    <w:rsid w:val="00EB35D3"/>
    <w:rsid w:val="00EE6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3C96D1-8FAC-4076-B506-11E2D93D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3DB"/>
    <w:pPr>
      <w:spacing w:after="0" w:line="240" w:lineRule="auto"/>
    </w:pPr>
    <w:rPr>
      <w:rFonts w:ascii="Times New Roman" w:hAnsi="Times New Roman" w:cs="Times New Roman"/>
      <w:sz w:val="24"/>
      <w:szCs w:val="24"/>
      <w:lang w:eastAsia="tr-TR"/>
    </w:rPr>
  </w:style>
  <w:style w:type="paragraph" w:styleId="Heading1">
    <w:name w:val="heading 1"/>
    <w:basedOn w:val="Normal"/>
    <w:next w:val="Normal"/>
    <w:link w:val="Heading1Char"/>
    <w:uiPriority w:val="9"/>
    <w:qFormat/>
    <w:rsid w:val="00EE6028"/>
    <w:pPr>
      <w:keepNext/>
      <w:keepLines/>
      <w:spacing w:before="360" w:after="120" w:line="360" w:lineRule="auto"/>
      <w:outlineLvl w:val="0"/>
    </w:pPr>
    <w:rPr>
      <w:rFonts w:ascii="Helvetica" w:eastAsiaTheme="majorEastAsia" w:hAnsi="Helvetica" w:cstheme="majorBidi"/>
      <w:b/>
      <w:szCs w:val="32"/>
    </w:rPr>
  </w:style>
  <w:style w:type="paragraph" w:styleId="Heading2">
    <w:name w:val="heading 2"/>
    <w:basedOn w:val="Normal"/>
    <w:next w:val="Normal"/>
    <w:link w:val="Heading2Char"/>
    <w:uiPriority w:val="9"/>
    <w:unhideWhenUsed/>
    <w:qFormat/>
    <w:rsid w:val="00DB60B6"/>
    <w:pPr>
      <w:keepNext/>
      <w:keepLines/>
      <w:spacing w:before="16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60B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E6028"/>
    <w:rPr>
      <w:rFonts w:ascii="Helvetica" w:eastAsiaTheme="majorEastAsia" w:hAnsi="Helvetica" w:cstheme="majorBidi"/>
      <w:b/>
      <w:sz w:val="24"/>
      <w:szCs w:val="32"/>
    </w:rPr>
  </w:style>
  <w:style w:type="paragraph" w:styleId="Header">
    <w:name w:val="header"/>
    <w:basedOn w:val="Normal"/>
    <w:link w:val="HeaderChar"/>
    <w:uiPriority w:val="99"/>
    <w:unhideWhenUsed/>
    <w:rsid w:val="008223DB"/>
    <w:pPr>
      <w:tabs>
        <w:tab w:val="center" w:pos="4536"/>
        <w:tab w:val="right" w:pos="9072"/>
      </w:tabs>
    </w:pPr>
  </w:style>
  <w:style w:type="character" w:customStyle="1" w:styleId="HeaderChar">
    <w:name w:val="Header Char"/>
    <w:basedOn w:val="DefaultParagraphFont"/>
    <w:link w:val="Header"/>
    <w:uiPriority w:val="99"/>
    <w:rsid w:val="008223DB"/>
  </w:style>
  <w:style w:type="paragraph" w:styleId="Footer">
    <w:name w:val="footer"/>
    <w:basedOn w:val="Normal"/>
    <w:link w:val="FooterChar"/>
    <w:uiPriority w:val="99"/>
    <w:unhideWhenUsed/>
    <w:rsid w:val="008223DB"/>
    <w:pPr>
      <w:tabs>
        <w:tab w:val="center" w:pos="4536"/>
        <w:tab w:val="right" w:pos="9072"/>
      </w:tabs>
    </w:pPr>
  </w:style>
  <w:style w:type="character" w:customStyle="1" w:styleId="FooterChar">
    <w:name w:val="Footer Char"/>
    <w:basedOn w:val="DefaultParagraphFont"/>
    <w:link w:val="Footer"/>
    <w:uiPriority w:val="99"/>
    <w:rsid w:val="008223DB"/>
  </w:style>
  <w:style w:type="paragraph" w:styleId="BodyTextIndent2">
    <w:name w:val="Body Text Indent 2"/>
    <w:basedOn w:val="Normal"/>
    <w:link w:val="BodyTextIndent2Char"/>
    <w:uiPriority w:val="99"/>
    <w:unhideWhenUsed/>
    <w:rsid w:val="008223DB"/>
    <w:pPr>
      <w:ind w:firstLine="720"/>
      <w:jc w:val="both"/>
    </w:pPr>
    <w:rPr>
      <w:rFonts w:ascii="Arial" w:hAnsi="Arial" w:cs="Arial"/>
      <w:b/>
      <w:bCs/>
      <w:i/>
      <w:iCs/>
      <w:sz w:val="22"/>
      <w:szCs w:val="22"/>
      <w:lang w:eastAsia="en-US"/>
    </w:rPr>
  </w:style>
  <w:style w:type="character" w:customStyle="1" w:styleId="BodyTextIndent2Char">
    <w:name w:val="Body Text Indent 2 Char"/>
    <w:basedOn w:val="DefaultParagraphFont"/>
    <w:link w:val="BodyTextIndent2"/>
    <w:uiPriority w:val="99"/>
    <w:rsid w:val="008223DB"/>
    <w:rPr>
      <w:rFonts w:ascii="Arial" w:hAnsi="Arial" w:cs="Arial"/>
      <w:b/>
      <w:bCs/>
      <w:i/>
      <w:iCs/>
    </w:rPr>
  </w:style>
  <w:style w:type="paragraph" w:styleId="ListParagraph">
    <w:name w:val="List Paragraph"/>
    <w:basedOn w:val="Normal"/>
    <w:uiPriority w:val="34"/>
    <w:qFormat/>
    <w:rsid w:val="008223DB"/>
    <w:pPr>
      <w:spacing w:after="160" w:line="252" w:lineRule="auto"/>
      <w:ind w:left="720"/>
      <w:contextualSpacing/>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4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MyOWU4Mi1mOWJkLTQxNjYtOGRiOS1jOTMyZDY3NWRmMWMiIG9yaWdpbj0idXNlclNlbGVjdGVkIj48ZWxlbWVudCB1aWQ9IjQ4ZjQyZWZhLTc4MjktNDFiMS04NWU3LTVlOTM1ZmExZWE5MSIgdmFsdWU9IiIgeG1sbnM9Imh0dHA6Ly93d3cuYm9sZG9uamFtZXMuY29tLzIwMDgvMDEvc2llL2ludGVybmFsL2xhYmVsIiAvPjxlbGVtZW50IHVpZD0iMmEyZmIxMDEtZDVlZi00N2RiLThiMjgtNmU3NWU0ODI0YWE3IiB2YWx1ZT0iIiB4bWxucz0iaHR0cDovL3d3dy5ib2xkb25qYW1lcy5jb20vMjAwOC8wMS9zaWUvaW50ZXJuYWwvbGFiZWwiIC8+PC9zaXNsPjxVc2VyTmFtZT5FWElNQkFOS1xudDEzNDk8L1VzZXJOYW1lPjxEYXRlVGltZT4xNy4xMS4yMDIxIDE0OjI2OjE2PC9EYXRlVGltZT48TGFiZWxTdHJpbmc+SGl6bWV0ZSAmI3hENjt6ZWwvS1YgSSYjeEU3O2VybWV6PC9MYWJlbFN0cmluZz48L2l0ZW0+PC9sYWJlbEhpc3Rvcnk+</Value>
</WrappedLabelHistory>
</file>

<file path=customXml/item2.xml><?xml version="1.0" encoding="utf-8"?>
<sisl xmlns:xsi="http://www.w3.org/2001/XMLSchema-instance" xmlns:xsd="http://www.w3.org/2001/XMLSchema" xmlns="http://www.boldonjames.com/2008/01/sie/internal/label" sislVersion="0" policy="e5329e82-f9bd-4166-8db9-c932d675df1c" origin="userSelected">
  <element uid="48f42efa-7829-41b1-85e7-5e935fa1ea91" value=""/>
  <element uid="2a2fb101-d5ef-47db-8b28-6e75e4824aa7" value=""/>
</sisl>
</file>

<file path=customXml/itemProps1.xml><?xml version="1.0" encoding="utf-8"?>
<ds:datastoreItem xmlns:ds="http://schemas.openxmlformats.org/officeDocument/2006/customXml" ds:itemID="{498550DF-BAB9-46B5-B719-7253FE5F8FE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9B50903-3074-484E-9A45-6170E212B15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İstanbulluoğlu TUR</dc:creator>
  <cp:keywords>Hizmete Ozel/KV Icermez</cp:keywords>
  <dc:description/>
  <cp:lastModifiedBy>Neşe İstanbulluoğlu TUR</cp:lastModifiedBy>
  <cp:revision>4</cp:revision>
  <dcterms:created xsi:type="dcterms:W3CDTF">2021-11-17T14:22:00Z</dcterms:created>
  <dcterms:modified xsi:type="dcterms:W3CDTF">2021-11-18T06:22:00Z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a327d8cd-da2e-46b4-8fc2-16a300ae974f</vt:lpwstr>
  </property>
  <property fmtid="{D5CDD505-2E9C-101B-9397-08002B2CF9AE}" pid="3" name="bjSaver">
    <vt:lpwstr>S2WPU1TEfYVqDCB1+Wu0fuC5WcrRfJnC</vt:lpwstr>
  </property>
  <property fmtid="{D5CDD505-2E9C-101B-9397-08002B2CF9AE}" pid="4" name="bjDocumentLabelXML">
    <vt:lpwstr>&lt;?xml version="1.0" encoding="us-ascii"?&gt;&lt;sisl xmlns:xsi="http://www.w3.org/2001/XMLSchema-instance" xmlns:xsd="http://www.w3.org/2001/XMLSchema" sislVersion="0" policy="e5329e82-f9bd-4166-8db9-c932d675df1c" origin="userSelected" xmlns="http://www.boldonj</vt:lpwstr>
  </property>
  <property fmtid="{D5CDD505-2E9C-101B-9397-08002B2CF9AE}" pid="5" name="bjDocumentLabelXML-0">
    <vt:lpwstr>ames.com/2008/01/sie/internal/label"&gt;&lt;element uid="48f42efa-7829-41b1-85e7-5e935fa1ea91" value="" /&gt;&lt;element uid="2a2fb101-d5ef-47db-8b28-6e75e4824aa7" value="" /&gt;&lt;/sisl&gt;</vt:lpwstr>
  </property>
  <property fmtid="{D5CDD505-2E9C-101B-9397-08002B2CF9AE}" pid="6" name="bjDocumentSecurityLabel">
    <vt:lpwstr>Hizmete Özel/KV Içermez</vt:lpwstr>
  </property>
  <property fmtid="{D5CDD505-2E9C-101B-9397-08002B2CF9AE}" pid="7" name="bjClsUserRVM">
    <vt:lpwstr>[]</vt:lpwstr>
  </property>
  <property fmtid="{D5CDD505-2E9C-101B-9397-08002B2CF9AE}" pid="8" name="bjLabelHistoryID">
    <vt:lpwstr>{498550DF-BAB9-46B5-B719-7253FE5F8FE5}</vt:lpwstr>
  </property>
</Properties>
</file>