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2E3C" w14:paraId="6CDBB35F" w14:textId="77777777" w:rsidTr="008E2E3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E2E3C" w14:paraId="6C6260A1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F7FAAA" w14:textId="77777777" w:rsidR="008E2E3C" w:rsidRDefault="008E2E3C">
                  <w:pPr>
                    <w:spacing w:line="240" w:lineRule="atLeas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Ocak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58339B" w14:textId="77777777" w:rsidR="008E2E3C" w:rsidRDefault="008E2E3C">
                  <w:pPr>
                    <w:spacing w:line="240" w:lineRule="atLeast"/>
                    <w:jc w:val="center"/>
                  </w:pPr>
                  <w:r>
                    <w:rPr>
                      <w:rFonts w:ascii="Palatino Linotype" w:hAnsi="Palatino Linotype"/>
                      <w:b/>
                      <w:bCs/>
                      <w:color w:val="800000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C0B812" w14:textId="77777777" w:rsidR="008E2E3C" w:rsidRDefault="008E2E3C">
                  <w:pPr>
                    <w:pStyle w:val="NormalWeb"/>
                    <w:jc w:val="right"/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31712</w:t>
                  </w:r>
                </w:p>
              </w:tc>
            </w:tr>
            <w:tr w:rsidR="008E2E3C" w14:paraId="52CF4B80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21F561" w14:textId="77777777" w:rsidR="008E2E3C" w:rsidRDefault="008E2E3C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8E2E3C" w14:paraId="576D23EA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904F5A" w14:textId="77777777" w:rsidR="008E2E3C" w:rsidRDefault="008E2E3C">
                  <w:pPr>
                    <w:pStyle w:val="balk11pt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Ticaret Bakanlığından:</w:t>
                  </w:r>
                </w:p>
                <w:p w14:paraId="3C413871" w14:textId="77777777" w:rsidR="008E2E3C" w:rsidRDefault="008E2E3C">
                  <w:pPr>
                    <w:pStyle w:val="ortabalkbold"/>
                    <w:spacing w:before="0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PAN AVRUPA AKDENİZ TERCİHLİ MENŞE KURALLARINA DAİR BÖLGESEL</w:t>
                  </w:r>
                </w:p>
                <w:p w14:paraId="2D1F0D8F" w14:textId="77777777" w:rsidR="008E2E3C" w:rsidRDefault="008E2E3C">
                  <w:pPr>
                    <w:pStyle w:val="ortabalkbold"/>
                    <w:spacing w:before="0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KONVANSİYON KAPSAMI TİCARETTE EŞYANIN TERCİHLİ MENŞEİNİN</w:t>
                  </w:r>
                </w:p>
                <w:p w14:paraId="1B57FDDE" w14:textId="77777777" w:rsidR="008E2E3C" w:rsidRDefault="008E2E3C">
                  <w:pPr>
                    <w:pStyle w:val="ortabalkbold"/>
                    <w:spacing w:before="0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TESPİTİ HAKKINDA YÖNETMELİKTE DEĞİŞİKLİK</w:t>
                  </w:r>
                </w:p>
                <w:p w14:paraId="19B2FC1A" w14:textId="77777777" w:rsidR="008E2E3C" w:rsidRDefault="008E2E3C">
                  <w:pPr>
                    <w:pStyle w:val="ortabalkbold"/>
                    <w:spacing w:before="0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YAPILMASINA DAİR YÖNETMELİK</w:t>
                  </w:r>
                </w:p>
                <w:p w14:paraId="027E2BBE" w14:textId="77777777" w:rsidR="008E2E3C" w:rsidRDefault="008E2E3C">
                  <w:pPr>
                    <w:pStyle w:val="ortabalkbold"/>
                    <w:spacing w:before="0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D60D7A3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1 –</w:t>
                  </w:r>
                  <w:r>
                    <w:rPr>
                      <w:sz w:val="18"/>
                      <w:szCs w:val="18"/>
                    </w:rPr>
                    <w:t xml:space="preserve"> 20/10/2017 tarihli ve 30216 sayılı Resmî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Gazete’de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yayımlanan </w:t>
                  </w:r>
                  <w:proofErr w:type="spellStart"/>
                  <w:r>
                    <w:rPr>
                      <w:sz w:val="18"/>
                      <w:szCs w:val="18"/>
                    </w:rPr>
                    <w:t>Pan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Avrupa Akdeniz Tercihli Menşe Kurallarına Dair Bölgesel Konvansiyon Kapsamı Ticarette Eşyanın Tercihli Menşeinin Tespiti Hakkında Yönetmeliğin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2 </w:t>
                  </w:r>
                  <w:proofErr w:type="spellStart"/>
                  <w:r>
                    <w:rPr>
                      <w:sz w:val="18"/>
                      <w:szCs w:val="18"/>
                    </w:rPr>
                    <w:t>nci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maddesi aşağıdaki şekilde değiştirilmiştir.</w:t>
                  </w:r>
                </w:p>
                <w:p w14:paraId="473D6A39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“MADDE 2 – </w:t>
                  </w:r>
                  <w:r>
                    <w:rPr>
                      <w:sz w:val="18"/>
                      <w:szCs w:val="18"/>
                    </w:rPr>
                    <w:t xml:space="preserve">(1) Bu Yönetmelik, 2/9/2013 tarihli ve 2013/5414 sayılı Bakanlar Kurulu Kararı ekinde yer alan </w:t>
                  </w:r>
                  <w:proofErr w:type="spellStart"/>
                  <w:r>
                    <w:rPr>
                      <w:sz w:val="18"/>
                      <w:szCs w:val="18"/>
                    </w:rPr>
                    <w:t>Pan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Avrupa Akdeniz Tercihli Menşe Kurallarına Dair Bölgesel Konvansiyonun Türkiye için uygulanmasında;</w:t>
                  </w:r>
                </w:p>
                <w:p w14:paraId="1A20EDAB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a) Türkiye Cumhuriyeti ile Faroe Adaları ile ilgili olarak Danimarka Krallığı arasında imzalanan ve 29/5/2017 tarihli ve 2017/10411 sayılı Bakanlar Kurulu Kararıyla onaylanan Serbest Ticaret Anlaşmasının II.10 uncu maddesinde yer alan “Menşe Kuralları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>” hükmünün,</w:t>
                  </w:r>
                </w:p>
                <w:p w14:paraId="7C4A6E3E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b) Türkiye Cumhuriyeti ile Moldova Cumhuriyeti arasında imzalanan ve 24/8/2016 tarihli ve 2016/9129 sayılı Bakanlar Kurulu Kararıyla onaylanan Serbest Ticaret Anlaşmasının Ek </w:t>
                  </w:r>
                  <w:proofErr w:type="spellStart"/>
                  <w:r>
                    <w:rPr>
                      <w:sz w:val="18"/>
                      <w:szCs w:val="18"/>
                    </w:rPr>
                    <w:t>I’inde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yer alan Menşeli Ürünler Kavramının Tanımı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Yöntemlerine İlişkin Protokolün,</w:t>
                  </w:r>
                </w:p>
                <w:p w14:paraId="4E743868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c) Türkiye Cumhuriyeti ile Makedonya Cumhuriyeti arasında imzalanan ve 11/3/2009 tarihli ve 2009/14829 sayılı Bakanlar Kurulu Kararıyla onaylanan Türkiye Cumhuriyeti ile Makedonya Cumhuriyeti Arasındaki Serbest Ticaret Anlaşmasının ekinde yer alan Menşeli Ürünler Kavramının Tanımı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Yöntemlerine İlişkin Protokol 2’nin,</w:t>
                  </w:r>
                </w:p>
                <w:p w14:paraId="5BA4DF99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ç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) Türkiye Cumhuriyeti ile Sırbistan Cumhuriyeti arasında imzalanan ve 7/5/2010 tarihli ve 2010/445 sayılı Bakanlar Kurulu Kararıyla onaylanan Türkiye Cumhuriyeti ile Sırbistan Cumhuriyeti Arasında Serbest Ticaret Anlaşmasının ekinde yer alan Menşeli Ürünler Kavramının Tanımı ve İdari İşbirliği Yöntemlerine İlişkin Protokol </w:t>
                  </w:r>
                  <w:proofErr w:type="spellStart"/>
                  <w:r>
                    <w:rPr>
                      <w:sz w:val="18"/>
                      <w:szCs w:val="18"/>
                    </w:rPr>
                    <w:t>II’nin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5F22C70C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d) Türkiye Cumhuriyeti ile EFTA Devletleri arasında imzalanan ve 25/5/2021 tarihli ve 4020 sayılı Cumhurbaşkanı Kararıyla onaylanan Türkiye Cumhuriyeti ile EFTA Devletleri Arasında Serbest Ticaret Anlaşmasının ekinde yer alan Menşe Kuralları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Metodlarına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İlişkin Ek </w:t>
                  </w:r>
                  <w:proofErr w:type="spellStart"/>
                  <w:r>
                    <w:rPr>
                      <w:sz w:val="18"/>
                      <w:szCs w:val="18"/>
                    </w:rPr>
                    <w:t>I’in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543B08BA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e) Türkiye Cumhuriyeti ile Arnavutluk Cumhuriyeti arasında imzalanan ve 18/2/2008 tarihli ve 2008/13298 sayılı Bakanlar Kurulu Kararıyla onaylanan Türkiye Cumhuriyeti ile Arnavutluk Cumhuriyeti Arasında Serbest Ticaret Anlaşmasının ekinde yer alan Menşeli Ürünler Kavramının Tanımı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Yöntemlerine İlişkin Protokol </w:t>
                  </w:r>
                  <w:proofErr w:type="spellStart"/>
                  <w:r>
                    <w:rPr>
                      <w:sz w:val="18"/>
                      <w:szCs w:val="18"/>
                    </w:rPr>
                    <w:t>II’nin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77CA9A96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f) Türkiye Cumhuriyeti ile Filistin Devleti arasında imzalanan ve 17/4/2005 tarihli ve 2005/8656 sayılı Bakanlar Kurulu Kararıyla onaylanan Türkiye Cumhuriyeti ile Filistin Yönetimi Adına Filistin Kurtuluş Örgütü Arasındaki Geçici Serbest Ticaret Anlaşmasının ekinde yer alan Menşeli Ürünler Kavramının Tanımı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Yöntemlerine İlişkin Protokol </w:t>
                  </w:r>
                  <w:proofErr w:type="spellStart"/>
                  <w:r>
                    <w:rPr>
                      <w:sz w:val="18"/>
                      <w:szCs w:val="18"/>
                    </w:rPr>
                    <w:t>II’nin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32997696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g) Türkiye Cumhuriyeti ile Gürcistan arasında imzalanan ve 5/9/2008 tarihli ve 2008/14127 sayılı Bakanlar Kurulu Kararıyla onaylanan Türkiye Cumhuriyeti ile Gürcistan Arasındaki Serbest Ticaret Anlaşmasının ekinde yer alan Menşeli Ürünler Kavramının Tanımı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Yöntemlerine İlişkin Protokol </w:t>
                  </w:r>
                  <w:proofErr w:type="spellStart"/>
                  <w:r>
                    <w:rPr>
                      <w:sz w:val="18"/>
                      <w:szCs w:val="18"/>
                    </w:rPr>
                    <w:t>II’nin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44672957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ğ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) Türkiye Cumhuriyeti ile Karadağ arasında imzalanan ve 31/12/2009 tarihli ve 2009/15753 sayılı Bakanlar Kurulu Kararıyla onaylanan Türkiye Cumhuriyeti ile Karadağ Arasında Serbest Ticaret Anlaşmasının ekinde yer alan Menşeli Ürünler Kavramının Tanımı ve İdari İşbirliği Yöntemlerine İlişkin Protokol </w:t>
                  </w:r>
                  <w:proofErr w:type="spellStart"/>
                  <w:r>
                    <w:rPr>
                      <w:sz w:val="18"/>
                      <w:szCs w:val="18"/>
                    </w:rPr>
                    <w:t>II’nin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44A9C812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h) Türkiye Cumhuriyeti ile İsviçre Konfederasyonu arasında imzalanan ve 25/5/2021 tarihli ve 4020 sayılı Cumhurbaşkanı Kararıyla onaylanan Türkiye Cumhuriyeti ile İsviçre Konfederasyonu Arasında Tarım Anlaşmasının </w:t>
                  </w:r>
                  <w:proofErr w:type="gramStart"/>
                  <w:r>
                    <w:rPr>
                      <w:sz w:val="18"/>
                      <w:szCs w:val="18"/>
                    </w:rPr>
                    <w:t>3 üncü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maddesinde atıfta bulunulan Menşe Kuralları ve İdari İşbirliği </w:t>
                  </w:r>
                  <w:proofErr w:type="spellStart"/>
                  <w:r>
                    <w:rPr>
                      <w:sz w:val="18"/>
                      <w:szCs w:val="18"/>
                    </w:rPr>
                    <w:t>Metodlarına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İlişkin Türkiye Cumhuriyeti ile EFTA Devletleri Arasında Serbest Ticaret Anlaşmasının Ek 1’inin,</w:t>
                  </w:r>
                </w:p>
                <w:p w14:paraId="406D2FBC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ı) Türkiye Cumhuriyeti ile Bosna Hersek arasında imzalanan ve 25/6/2021 tarihli ve 4161 sayılı Cumhurbaşkanı Kararıyla onaylanan Türkiye Cumhuriyeti ile Bosna Hersek Arasındaki Serbest Ticaret Anlaşmasının ekinde yer alan Menşeli Ürünler Kavramının Tanımı ve İdari </w:t>
                  </w:r>
                  <w:proofErr w:type="gramStart"/>
                  <w:r>
                    <w:rPr>
                      <w:sz w:val="18"/>
                      <w:szCs w:val="18"/>
                    </w:rPr>
                    <w:t>İşbirliği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Yöntemlerine İlişkin Protokol </w:t>
                  </w:r>
                  <w:proofErr w:type="spellStart"/>
                  <w:r>
                    <w:rPr>
                      <w:sz w:val="18"/>
                      <w:szCs w:val="18"/>
                    </w:rPr>
                    <w:t>II’nin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37CD06EE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uygulanmasına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dair usul ve esasları kapsar.”</w:t>
                  </w:r>
                </w:p>
                <w:p w14:paraId="4F8FA4D0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2 – </w:t>
                  </w:r>
                  <w:r>
                    <w:rPr>
                      <w:sz w:val="18"/>
                      <w:szCs w:val="18"/>
                    </w:rPr>
                    <w:t>Aynı Yönetmeliğin EK-</w:t>
                  </w:r>
                  <w:proofErr w:type="spellStart"/>
                  <w:r>
                    <w:rPr>
                      <w:sz w:val="18"/>
                      <w:szCs w:val="18"/>
                    </w:rPr>
                    <w:t>V’i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ekteki şekilde değiştirilmiştir.</w:t>
                  </w:r>
                </w:p>
                <w:p w14:paraId="54B29CEC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3 – </w:t>
                  </w:r>
                  <w:r>
                    <w:rPr>
                      <w:sz w:val="18"/>
                      <w:szCs w:val="18"/>
                    </w:rPr>
                    <w:t>Bu Yönetmelik 1/8/2021 tarihinden geçerli olmak üzere yayımı tarihinde yürürlüğe girer.</w:t>
                  </w:r>
                </w:p>
                <w:p w14:paraId="633AF002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4 – </w:t>
                  </w:r>
                  <w:r>
                    <w:rPr>
                      <w:sz w:val="18"/>
                      <w:szCs w:val="18"/>
                    </w:rPr>
                    <w:t>Bu Yönetmelik hükümlerini Ticaret Bakanı yürütür.</w:t>
                  </w:r>
                </w:p>
                <w:p w14:paraId="67167A9B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8"/>
                    <w:gridCol w:w="4241"/>
                  </w:tblGrid>
                  <w:tr w:rsidR="008E2E3C" w14:paraId="61C38721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6A6C24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Yönetmeliğin Yayımlandığı Resmî Gazete’nin</w:t>
                        </w:r>
                      </w:p>
                    </w:tc>
                  </w:tr>
                  <w:tr w:rsidR="008E2E3C" w14:paraId="644E4B3D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23E5F7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39FA90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8E2E3C" w14:paraId="785CBC42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A956C7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20/10/2017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72CE2F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30216</w:t>
                        </w:r>
                      </w:p>
                    </w:tc>
                  </w:tr>
                  <w:tr w:rsidR="008E2E3C" w14:paraId="142B82A3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AF325B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Yönetmelikte Değişiklik Yapan Yönetmeliklerin Yayımlandığı Resmî Gazete’nin</w:t>
                        </w:r>
                      </w:p>
                    </w:tc>
                  </w:tr>
                  <w:tr w:rsidR="008E2E3C" w14:paraId="70B58BF3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3F55D2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CC3260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8E2E3C" w14:paraId="47AC334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C6EBE0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53E14C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6/2/2018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F6C9E5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30324</w:t>
                        </w:r>
                      </w:p>
                    </w:tc>
                  </w:tr>
                  <w:tr w:rsidR="008E2E3C" w14:paraId="4D3EEA1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370F05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47F474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23/6/2018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79E47A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                   30457 (Mükerrer)</w:t>
                        </w:r>
                      </w:p>
                    </w:tc>
                  </w:tr>
                  <w:tr w:rsidR="008E2E3C" w14:paraId="0C3E5E4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A78964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4E7FAC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7/7/2018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84A1C2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30471</w:t>
                        </w:r>
                      </w:p>
                    </w:tc>
                  </w:tr>
                  <w:tr w:rsidR="008E2E3C" w14:paraId="12F5A1C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B31D23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7197AA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2/8/2019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D42755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30850</w:t>
                        </w:r>
                      </w:p>
                    </w:tc>
                  </w:tr>
                  <w:tr w:rsidR="008E2E3C" w14:paraId="4744FA9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4CF89B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EA48EC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11/12/2019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FC4DE5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30975</w:t>
                        </w:r>
                      </w:p>
                    </w:tc>
                  </w:tr>
                  <w:tr w:rsidR="008E2E3C" w14:paraId="5345B29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4E8019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95189F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31/12/2020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DE67ED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                      31351 (3. Mükerrer)</w:t>
                        </w:r>
                      </w:p>
                    </w:tc>
                  </w:tr>
                  <w:tr w:rsidR="008E2E3C" w14:paraId="0EEB36D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E1D766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113DE4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20/5/2021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804BDE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31486</w:t>
                        </w:r>
                      </w:p>
                    </w:tc>
                  </w:tr>
                  <w:tr w:rsidR="008E2E3C" w14:paraId="0977CEC9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A318D0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FBE471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11/6/2021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7786B6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31508</w:t>
                        </w:r>
                      </w:p>
                    </w:tc>
                  </w:tr>
                  <w:tr w:rsidR="008E2E3C" w14:paraId="090A47C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44A041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C4B008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29/7/2021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A21B9D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31552</w:t>
                        </w:r>
                      </w:p>
                    </w:tc>
                  </w:tr>
                  <w:tr w:rsidR="008E2E3C" w14:paraId="4FED83C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706CF1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10369C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3/8/2021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0BEF70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31557</w:t>
                        </w:r>
                      </w:p>
                    </w:tc>
                  </w:tr>
                  <w:tr w:rsidR="008E2E3C" w14:paraId="733A6B0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E4B524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061619" w14:textId="77777777" w:rsidR="008E2E3C" w:rsidRDefault="008E2E3C">
                        <w:pPr>
                          <w:pStyle w:val="3-normalyaz"/>
                          <w:spacing w:line="240" w:lineRule="atLeast"/>
                          <w:ind w:right="469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19/10/2021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8A85C4" w14:textId="77777777" w:rsidR="008E2E3C" w:rsidRDefault="008E2E3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31633</w:t>
                        </w:r>
                      </w:p>
                    </w:tc>
                  </w:tr>
                </w:tbl>
                <w:p w14:paraId="23288F36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14:paraId="660ACFC6" w14:textId="77777777" w:rsidR="008E2E3C" w:rsidRDefault="008E2E3C">
                  <w:pPr>
                    <w:pStyle w:val="metin"/>
                    <w:spacing w:before="0" w:beforeAutospacing="0" w:after="0" w:afterAutospacing="0" w:line="240" w:lineRule="atLeast"/>
                    <w:rPr>
                      <w:sz w:val="19"/>
                      <w:szCs w:val="19"/>
                    </w:rPr>
                  </w:pPr>
                  <w:hyperlink r:id="rId5" w:history="1">
                    <w:r>
                      <w:rPr>
                        <w:rStyle w:val="Kpr"/>
                        <w:b/>
                        <w:bCs/>
                        <w:sz w:val="18"/>
                        <w:szCs w:val="18"/>
                      </w:rPr>
                      <w:t>Ekleri için tıklayınız.</w:t>
                    </w:r>
                  </w:hyperlink>
                </w:p>
                <w:p w14:paraId="47D1D1DF" w14:textId="77777777" w:rsidR="008E2E3C" w:rsidRDefault="008E2E3C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07A1ED" w14:textId="77777777" w:rsidR="008E2E3C" w:rsidRDefault="008E2E3C"/>
        </w:tc>
      </w:tr>
    </w:tbl>
    <w:p w14:paraId="437D3F25" w14:textId="77777777" w:rsidR="008E2E3C" w:rsidRDefault="008E2E3C" w:rsidP="008E2E3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1AF051A3" w14:textId="7AA56680" w:rsidR="00605ADF" w:rsidRPr="00F03F0D" w:rsidRDefault="00605ADF" w:rsidP="00F03F0D"/>
    <w:sectPr w:rsidR="00605ADF" w:rsidRPr="00F0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E8D"/>
    <w:multiLevelType w:val="hybridMultilevel"/>
    <w:tmpl w:val="875C7550"/>
    <w:lvl w:ilvl="0" w:tplc="DA1AC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0874"/>
    <w:multiLevelType w:val="multilevel"/>
    <w:tmpl w:val="D5E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5D"/>
    <w:rsid w:val="001A1A5D"/>
    <w:rsid w:val="001B3792"/>
    <w:rsid w:val="002A419E"/>
    <w:rsid w:val="00605ADF"/>
    <w:rsid w:val="006157FC"/>
    <w:rsid w:val="0076050C"/>
    <w:rsid w:val="008A366B"/>
    <w:rsid w:val="008E2E3C"/>
    <w:rsid w:val="00933186"/>
    <w:rsid w:val="00934B59"/>
    <w:rsid w:val="00945637"/>
    <w:rsid w:val="00A34C7E"/>
    <w:rsid w:val="00A567E9"/>
    <w:rsid w:val="00D06ADD"/>
    <w:rsid w:val="00DB347B"/>
    <w:rsid w:val="00EF377C"/>
    <w:rsid w:val="00F03F0D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3B61"/>
  <w15:chartTrackingRefBased/>
  <w15:docId w15:val="{E3B669BF-7403-4872-B3A5-A7CDC07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6ADD"/>
    <w:rPr>
      <w:b/>
      <w:bCs/>
    </w:rPr>
  </w:style>
  <w:style w:type="character" w:styleId="Kpr">
    <w:name w:val="Hyperlink"/>
    <w:basedOn w:val="VarsaylanParagrafYazTipi"/>
    <w:uiPriority w:val="99"/>
    <w:unhideWhenUsed/>
    <w:rsid w:val="008A366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366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F377C"/>
    <w:pPr>
      <w:ind w:left="720"/>
      <w:contextualSpacing/>
    </w:pPr>
  </w:style>
  <w:style w:type="paragraph" w:customStyle="1" w:styleId="balk11pt">
    <w:name w:val="balk11pt"/>
    <w:basedOn w:val="Normal"/>
    <w:rsid w:val="008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migazete.gov.tr/eskiler/2022/01/20220107-11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Adana Sanayi Odası</cp:lastModifiedBy>
  <cp:revision>2</cp:revision>
  <dcterms:created xsi:type="dcterms:W3CDTF">2022-01-07T12:49:00Z</dcterms:created>
  <dcterms:modified xsi:type="dcterms:W3CDTF">2022-01-07T12:49:00Z</dcterms:modified>
</cp:coreProperties>
</file>